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D33" w:rsidRDefault="00CB66BC" w:rsidP="005622F3">
      <w:pPr>
        <w:spacing w:before="120" w:after="240" w:line="240" w:lineRule="auto"/>
        <w:rPr>
          <w:rFonts w:ascii="Arial" w:hAnsi="Arial" w:cs="Arial"/>
          <w:b/>
          <w:sz w:val="32"/>
          <w:szCs w:val="32"/>
        </w:rPr>
      </w:pPr>
      <w:r w:rsidRPr="005579A5">
        <w:rPr>
          <w:rFonts w:ascii="Arial" w:hAnsi="Arial" w:cs="Arial"/>
          <w:b/>
          <w:sz w:val="32"/>
          <w:szCs w:val="32"/>
        </w:rPr>
        <w:t xml:space="preserve">Matters </w:t>
      </w:r>
      <w:r>
        <w:rPr>
          <w:rFonts w:ascii="Arial" w:hAnsi="Arial" w:cs="Arial"/>
          <w:b/>
          <w:sz w:val="32"/>
          <w:szCs w:val="32"/>
        </w:rPr>
        <w:t xml:space="preserve">arising </w:t>
      </w:r>
      <w:r w:rsidRPr="005579A5">
        <w:rPr>
          <w:rFonts w:ascii="Arial" w:hAnsi="Arial" w:cs="Arial"/>
          <w:b/>
          <w:sz w:val="32"/>
          <w:szCs w:val="32"/>
        </w:rPr>
        <w:t xml:space="preserve">from </w:t>
      </w:r>
      <w:r>
        <w:rPr>
          <w:rFonts w:ascii="Arial" w:hAnsi="Arial" w:cs="Arial"/>
          <w:b/>
          <w:sz w:val="32"/>
          <w:szCs w:val="32"/>
        </w:rPr>
        <w:t>i</w:t>
      </w:r>
      <w:r w:rsidRPr="005579A5">
        <w:rPr>
          <w:rFonts w:ascii="Arial" w:hAnsi="Arial" w:cs="Arial"/>
          <w:b/>
          <w:sz w:val="32"/>
          <w:szCs w:val="32"/>
        </w:rPr>
        <w:t xml:space="preserve">nternal </w:t>
      </w:r>
      <w:r>
        <w:rPr>
          <w:rFonts w:ascii="Arial" w:hAnsi="Arial" w:cs="Arial"/>
          <w:b/>
          <w:sz w:val="32"/>
          <w:szCs w:val="32"/>
        </w:rPr>
        <w:t>a</w:t>
      </w:r>
      <w:r w:rsidRPr="005579A5">
        <w:rPr>
          <w:rFonts w:ascii="Arial" w:hAnsi="Arial" w:cs="Arial"/>
          <w:b/>
          <w:sz w:val="32"/>
          <w:szCs w:val="32"/>
        </w:rPr>
        <w:t xml:space="preserve">udit work </w:t>
      </w:r>
      <w:r>
        <w:rPr>
          <w:rFonts w:ascii="Arial" w:hAnsi="Arial" w:cs="Arial"/>
          <w:b/>
          <w:sz w:val="32"/>
          <w:szCs w:val="32"/>
        </w:rPr>
        <w:t xml:space="preserve">for 2018/19 </w:t>
      </w:r>
      <w:r w:rsidRPr="005579A5">
        <w:rPr>
          <w:rFonts w:ascii="Arial" w:hAnsi="Arial" w:cs="Arial"/>
          <w:b/>
          <w:sz w:val="32"/>
          <w:szCs w:val="32"/>
        </w:rPr>
        <w:t xml:space="preserve">completed </w:t>
      </w:r>
      <w:r>
        <w:rPr>
          <w:rFonts w:ascii="Arial" w:hAnsi="Arial" w:cs="Arial"/>
          <w:b/>
          <w:sz w:val="32"/>
          <w:szCs w:val="32"/>
        </w:rPr>
        <w:t>after 1 May 2019</w:t>
      </w:r>
    </w:p>
    <w:p w:rsidR="00F04D33" w:rsidRDefault="00CB66BC" w:rsidP="00CB66BC">
      <w:pPr>
        <w:pStyle w:val="Rparagraph"/>
        <w:ind w:left="567" w:hanging="567"/>
        <w:jc w:val="both"/>
      </w:pPr>
      <w:r>
        <w:t>The matters arising from each of the audits completed during May and June 2019 are set out below</w:t>
      </w:r>
      <w:r w:rsidRPr="001B78EA">
        <w:t>.</w:t>
      </w:r>
      <w:r>
        <w:t xml:space="preserve"> Progress reports to the committee throughout 2018/19 have included similar summaries for each of the audits reported during the year.</w:t>
      </w:r>
    </w:p>
    <w:p w:rsidR="00D3378B" w:rsidRPr="00D3378B" w:rsidRDefault="00CB66BC" w:rsidP="00CB66BC">
      <w:pPr>
        <w:tabs>
          <w:tab w:val="num" w:pos="567"/>
          <w:tab w:val="right" w:pos="9072"/>
        </w:tabs>
        <w:spacing w:before="120" w:after="120" w:line="240" w:lineRule="auto"/>
        <w:ind w:left="567"/>
        <w:jc w:val="both"/>
        <w:rPr>
          <w:rFonts w:ascii="Arial" w:hAnsi="Arial" w:cs="Arial"/>
          <w:b/>
          <w:sz w:val="24"/>
          <w:szCs w:val="24"/>
          <w:lang w:eastAsia="en-GB"/>
        </w:rPr>
      </w:pPr>
      <w:r w:rsidRPr="00D3378B">
        <w:rPr>
          <w:rFonts w:ascii="Arial" w:hAnsi="Arial" w:cs="Arial"/>
          <w:b/>
          <w:sz w:val="24"/>
          <w:szCs w:val="24"/>
          <w:lang w:eastAsia="en-GB"/>
        </w:rPr>
        <w:t>Preparation of the corporate risk register</w:t>
      </w:r>
      <w:r w:rsidRPr="00D3378B">
        <w:rPr>
          <w:rFonts w:ascii="Arial" w:hAnsi="Arial" w:cs="Arial"/>
          <w:sz w:val="24"/>
          <w:szCs w:val="24"/>
          <w:lang w:eastAsia="en-GB"/>
        </w:rPr>
        <w:tab/>
        <w:t>(Substantial assurance)</w:t>
      </w:r>
    </w:p>
    <w:p w:rsidR="00D3378B" w:rsidRPr="00D3378B" w:rsidRDefault="00CB66BC" w:rsidP="00CB66BC">
      <w:pPr>
        <w:pStyle w:val="Rparagraph"/>
        <w:ind w:left="567" w:hanging="567"/>
        <w:jc w:val="both"/>
      </w:pPr>
      <w:r w:rsidRPr="00D3378B">
        <w:t>The council's arrangements follow the principles set out in the International Risk Management Standard (ISO: 31000). Its risk and opportunity management policy, methodology and</w:t>
      </w:r>
      <w:r>
        <w:t xml:space="preserve"> practice are described on the i</w:t>
      </w:r>
      <w:r w:rsidRPr="00D3378B">
        <w:t xml:space="preserve">ntranet, in the code of corporate governance and in the statement on risk appetite. Face-to-face training has been delivered </w:t>
      </w:r>
      <w:r>
        <w:t xml:space="preserve">to </w:t>
      </w:r>
      <w:r w:rsidRPr="00D3378B">
        <w:t>councillor</w:t>
      </w:r>
      <w:r>
        <w:t>s</w:t>
      </w:r>
      <w:r w:rsidRPr="00D3378B">
        <w:t xml:space="preserve"> and is available </w:t>
      </w:r>
      <w:r>
        <w:t>by</w:t>
      </w:r>
      <w:r w:rsidRPr="00D3378B">
        <w:t xml:space="preserve"> webcast, and targeted training is delivered to services. Trained service risk champions are established and the information governance manager provides support to heads of service if required.</w:t>
      </w:r>
    </w:p>
    <w:p w:rsidR="00F04D33" w:rsidRDefault="00CB66BC" w:rsidP="00CB66BC">
      <w:pPr>
        <w:pStyle w:val="Rparagraph"/>
        <w:ind w:left="567" w:hanging="567"/>
        <w:jc w:val="both"/>
      </w:pPr>
      <w:r w:rsidRPr="00D3378B">
        <w:t>Heads of service produce a quarterly service risk and opportunity register, which must be cleared through directors and executive directors. These are moderated by the head of legal, governance and registrars, who reports an analysis to the corporate management team who review and update the corporate risk and opportunity register.</w:t>
      </w:r>
    </w:p>
    <w:p w:rsidR="00FB5311" w:rsidRDefault="00CB66BC" w:rsidP="00CB66BC">
      <w:pPr>
        <w:tabs>
          <w:tab w:val="num" w:pos="567"/>
          <w:tab w:val="right" w:pos="9072"/>
        </w:tabs>
        <w:spacing w:before="120" w:line="240" w:lineRule="auto"/>
        <w:ind w:left="567"/>
        <w:jc w:val="both"/>
        <w:rPr>
          <w:rFonts w:ascii="Arial" w:hAnsi="Arial" w:cs="Arial"/>
          <w:b/>
          <w:sz w:val="24"/>
          <w:szCs w:val="24"/>
          <w:lang w:eastAsia="en-GB"/>
        </w:rPr>
      </w:pPr>
      <w:r w:rsidRPr="00FB5311">
        <w:rPr>
          <w:rFonts w:ascii="Arial" w:hAnsi="Arial" w:cs="Arial"/>
          <w:b/>
          <w:sz w:val="24"/>
          <w:szCs w:val="24"/>
          <w:lang w:eastAsia="en-GB"/>
        </w:rPr>
        <w:t>Performance management in the Lancashire Pension Fund</w:t>
      </w:r>
    </w:p>
    <w:p w:rsidR="00FB5311" w:rsidRPr="00126B61" w:rsidRDefault="00CB66BC" w:rsidP="0039524A">
      <w:pPr>
        <w:tabs>
          <w:tab w:val="num" w:pos="567"/>
          <w:tab w:val="right" w:pos="9072"/>
        </w:tabs>
        <w:spacing w:after="120" w:line="240" w:lineRule="auto"/>
        <w:ind w:left="567"/>
        <w:jc w:val="both"/>
        <w:rPr>
          <w:rFonts w:ascii="Arial" w:hAnsi="Arial" w:cs="Arial"/>
          <w:sz w:val="24"/>
          <w:szCs w:val="24"/>
          <w:lang w:eastAsia="en-GB"/>
        </w:rPr>
      </w:pPr>
      <w:r w:rsidRPr="00126B61">
        <w:rPr>
          <w:rFonts w:ascii="Arial" w:hAnsi="Arial" w:cs="Arial"/>
          <w:sz w:val="24"/>
          <w:szCs w:val="24"/>
          <w:lang w:eastAsia="en-GB"/>
        </w:rPr>
        <w:tab/>
        <w:t>(Substantial assurance)</w:t>
      </w:r>
    </w:p>
    <w:p w:rsidR="00FB5311" w:rsidRPr="00FB5311" w:rsidRDefault="00CB66BC" w:rsidP="00CB66BC">
      <w:pPr>
        <w:pStyle w:val="Rparagraph"/>
        <w:ind w:left="567" w:hanging="567"/>
        <w:jc w:val="both"/>
      </w:pPr>
      <w:r w:rsidRPr="00FB5311">
        <w:t>The council's Governance Policy Statement sets out the roles of the Pension Fund Committee, Pension Board and senior post-holders in relation to the governance and oversight of the Fund. This includes oversight of the Fund's performance and particularly the performance of its investments.</w:t>
      </w:r>
    </w:p>
    <w:p w:rsidR="00FB5311" w:rsidRPr="00FB5311" w:rsidRDefault="00CB66BC" w:rsidP="00CB66BC">
      <w:pPr>
        <w:pStyle w:val="Rparagraph"/>
        <w:ind w:left="567" w:hanging="567"/>
        <w:jc w:val="both"/>
      </w:pPr>
      <w:r w:rsidRPr="00FB5311">
        <w:t>The Pension Fund Committee takes the role of scheme manager and receives regular reports from the head of service for the Pension Fund and L</w:t>
      </w:r>
      <w:r>
        <w:t xml:space="preserve">ocal </w:t>
      </w:r>
      <w:r w:rsidRPr="00FB5311">
        <w:t>P</w:t>
      </w:r>
      <w:r>
        <w:t xml:space="preserve">ensions </w:t>
      </w:r>
      <w:r w:rsidRPr="00FB5311">
        <w:t>P</w:t>
      </w:r>
      <w:r>
        <w:t>artnership Ltd (LPP)</w:t>
      </w:r>
      <w:r w:rsidRPr="00FB5311">
        <w:t xml:space="preserve">. The committee is advised by the Investment Panel and assisted by the Pension Board whose independent advisors and chair respectively have been appointed for their </w:t>
      </w:r>
      <w:r>
        <w:t xml:space="preserve">specialist </w:t>
      </w:r>
      <w:r w:rsidRPr="00FB5311">
        <w:t xml:space="preserve">expertise, and </w:t>
      </w:r>
      <w:r>
        <w:t xml:space="preserve">it </w:t>
      </w:r>
      <w:r w:rsidRPr="00FB5311">
        <w:t>is provided with sufficient, relevant information to assess and effectively challenge the performance of the Fund.</w:t>
      </w:r>
    </w:p>
    <w:p w:rsidR="00126B61" w:rsidRPr="00126B61" w:rsidRDefault="00CB66BC" w:rsidP="00CB66BC">
      <w:pPr>
        <w:tabs>
          <w:tab w:val="num" w:pos="567"/>
          <w:tab w:val="right" w:pos="9072"/>
        </w:tabs>
        <w:spacing w:before="120" w:after="120" w:line="240" w:lineRule="auto"/>
        <w:ind w:left="567"/>
        <w:jc w:val="both"/>
        <w:rPr>
          <w:rFonts w:ascii="Arial" w:hAnsi="Arial" w:cs="Arial"/>
          <w:b/>
          <w:sz w:val="24"/>
          <w:szCs w:val="24"/>
          <w:lang w:eastAsia="en-GB"/>
        </w:rPr>
      </w:pPr>
      <w:r w:rsidRPr="00126B61">
        <w:rPr>
          <w:rFonts w:ascii="Arial" w:hAnsi="Arial" w:cs="Arial"/>
          <w:b/>
          <w:sz w:val="24"/>
          <w:szCs w:val="24"/>
          <w:lang w:eastAsia="en-GB"/>
        </w:rPr>
        <w:t>Construction of care packages</w:t>
      </w:r>
      <w:r w:rsidRPr="00126B61">
        <w:rPr>
          <w:rFonts w:ascii="Arial" w:hAnsi="Arial" w:cs="Arial"/>
          <w:sz w:val="24"/>
          <w:szCs w:val="24"/>
          <w:lang w:eastAsia="en-GB"/>
        </w:rPr>
        <w:tab/>
        <w:t>(Moderate assurance)</w:t>
      </w:r>
    </w:p>
    <w:p w:rsidR="00126B61" w:rsidRPr="00126B61" w:rsidRDefault="00CB66BC" w:rsidP="00CB66BC">
      <w:pPr>
        <w:pStyle w:val="Rparagraph"/>
        <w:ind w:left="567" w:hanging="567"/>
        <w:jc w:val="both"/>
      </w:pPr>
      <w:r w:rsidRPr="0031041D">
        <w:t xml:space="preserve">The Care Navigation team is responsible for commissioning care for service users, primarily through the providers contracted to provide domiciliary, reablement and residential care. It receives approximately 1,300 referrals each month, of which 600 refer to requests for domiciliary care. </w:t>
      </w:r>
    </w:p>
    <w:p w:rsidR="00126B61" w:rsidRPr="00126B61" w:rsidRDefault="00CB66BC" w:rsidP="00CB66BC">
      <w:pPr>
        <w:pStyle w:val="Rparagraph"/>
        <w:ind w:left="567" w:hanging="567"/>
        <w:jc w:val="both"/>
      </w:pPr>
      <w:r w:rsidRPr="0031041D">
        <w:t xml:space="preserve">The audit addressed the 46 providers contracted to provide domiciliary care under the 165 contracts of the homecare framework covering older people and people with physical disabilities, learning disabilities and autism and mental health issues. </w:t>
      </w:r>
      <w:r>
        <w:t>T</w:t>
      </w:r>
      <w:r w:rsidRPr="0031041D">
        <w:t>he team's guidelines are followed when support is commissioned, and team leaders provide appropriate oversight and authorisation of the decisions made.</w:t>
      </w:r>
    </w:p>
    <w:p w:rsidR="00126B61" w:rsidRPr="00126B61" w:rsidRDefault="00CB66BC" w:rsidP="00CB66BC">
      <w:pPr>
        <w:pStyle w:val="Rparagraph"/>
        <w:ind w:left="567" w:hanging="567"/>
        <w:jc w:val="both"/>
      </w:pPr>
      <w:r w:rsidRPr="00A63AAD">
        <w:lastRenderedPageBreak/>
        <w:t xml:space="preserve">Consent to share information </w:t>
      </w:r>
      <w:r>
        <w:t>i</w:t>
      </w:r>
      <w:r w:rsidRPr="00A63AAD">
        <w:t xml:space="preserve">s obtained </w:t>
      </w:r>
      <w:r>
        <w:t xml:space="preserve">where </w:t>
      </w:r>
      <w:r w:rsidRPr="00A63AAD">
        <w:t xml:space="preserve">relevant, </w:t>
      </w:r>
      <w:r>
        <w:t xml:space="preserve">but there is </w:t>
      </w:r>
      <w:r w:rsidRPr="00A63AAD">
        <w:t>a high level of non-compliance with data protection requirements</w:t>
      </w:r>
      <w:r>
        <w:t>. In</w:t>
      </w:r>
      <w:r w:rsidRPr="00A63AAD">
        <w:t xml:space="preserve"> 30% of the cases we tested</w:t>
      </w:r>
      <w:r>
        <w:t xml:space="preserve">, </w:t>
      </w:r>
      <w:r w:rsidRPr="00A63AAD">
        <w:t xml:space="preserve">case details </w:t>
      </w:r>
      <w:r>
        <w:t xml:space="preserve">were not </w:t>
      </w:r>
      <w:r w:rsidRPr="00A63AAD">
        <w:t>appropriately anonymised before being sent to the provider.</w:t>
      </w:r>
    </w:p>
    <w:p w:rsidR="00126B61" w:rsidRPr="00A63AAD" w:rsidRDefault="00CB66BC" w:rsidP="00CB66BC">
      <w:pPr>
        <w:pStyle w:val="Rparagraph"/>
        <w:ind w:left="567" w:hanging="567"/>
        <w:jc w:val="both"/>
        <w:rPr>
          <w:b/>
        </w:rPr>
      </w:pPr>
      <w:r w:rsidRPr="00A63AAD">
        <w:t xml:space="preserve">Providers are required to confirm their ability to meet the requirements of a care package in all cases submitted to them. </w:t>
      </w:r>
      <w:r>
        <w:t xml:space="preserve">If providers respond they do so </w:t>
      </w:r>
      <w:r w:rsidRPr="00A63AAD">
        <w:t xml:space="preserve">within the timescales set, </w:t>
      </w:r>
      <w:r>
        <w:t xml:space="preserve">but </w:t>
      </w:r>
      <w:r w:rsidRPr="00A63AAD">
        <w:t xml:space="preserve">a high percentage </w:t>
      </w:r>
      <w:r>
        <w:t>fail</w:t>
      </w:r>
      <w:r w:rsidRPr="00A63AAD">
        <w:t xml:space="preserve"> to respond at all, which </w:t>
      </w:r>
      <w:r>
        <w:t>contravenes</w:t>
      </w:r>
      <w:r w:rsidRPr="00A63AAD">
        <w:t xml:space="preserve"> the homecare framework. </w:t>
      </w:r>
      <w:r>
        <w:t>Th</w:t>
      </w:r>
      <w:r w:rsidRPr="00A63AAD">
        <w:t xml:space="preserve">is is </w:t>
      </w:r>
      <w:r>
        <w:t xml:space="preserve">currently </w:t>
      </w:r>
      <w:r w:rsidRPr="00A63AAD">
        <w:t>being addressed in conjunction with the contract monitoring team.</w:t>
      </w:r>
    </w:p>
    <w:p w:rsidR="00033443" w:rsidRPr="00750FD6" w:rsidRDefault="00CB66BC" w:rsidP="00CB66BC">
      <w:pPr>
        <w:tabs>
          <w:tab w:val="num" w:pos="567"/>
          <w:tab w:val="right" w:pos="9072"/>
        </w:tabs>
        <w:spacing w:before="120" w:after="120" w:line="240" w:lineRule="auto"/>
        <w:ind w:left="567"/>
        <w:jc w:val="both"/>
        <w:rPr>
          <w:rFonts w:ascii="Arial" w:hAnsi="Arial" w:cs="Arial"/>
          <w:sz w:val="24"/>
          <w:szCs w:val="24"/>
          <w:lang w:eastAsia="en-GB"/>
        </w:rPr>
      </w:pPr>
      <w:r w:rsidRPr="00033443">
        <w:rPr>
          <w:rFonts w:ascii="Arial" w:hAnsi="Arial" w:cs="Arial"/>
          <w:b/>
          <w:sz w:val="24"/>
          <w:szCs w:val="24"/>
          <w:lang w:eastAsia="en-GB"/>
        </w:rPr>
        <w:t>Use of the care portal by external care providers to claim payments for services provided to service users</w:t>
      </w:r>
      <w:r w:rsidRPr="00033443">
        <w:rPr>
          <w:rFonts w:ascii="Arial" w:hAnsi="Arial" w:cs="Arial"/>
          <w:sz w:val="24"/>
          <w:szCs w:val="24"/>
          <w:lang w:eastAsia="en-GB"/>
        </w:rPr>
        <w:tab/>
        <w:t>(Moderate assurance)</w:t>
      </w:r>
    </w:p>
    <w:p w:rsidR="00033443" w:rsidRPr="00033443" w:rsidRDefault="00CB66BC" w:rsidP="00CB66BC">
      <w:pPr>
        <w:pStyle w:val="Rparagraph"/>
        <w:ind w:left="567" w:hanging="567"/>
        <w:jc w:val="both"/>
      </w:pPr>
      <w:r w:rsidRPr="00C3564F">
        <w:t xml:space="preserve">The care provider portal allows domiciliary and residential care providers to input details of the services they have delivered so that they may be paid. It is accessible to </w:t>
      </w:r>
      <w:r>
        <w:t xml:space="preserve">more than </w:t>
      </w:r>
      <w:r w:rsidRPr="00C3564F">
        <w:t>6</w:t>
      </w:r>
      <w:r>
        <w:t>0</w:t>
      </w:r>
      <w:r w:rsidRPr="00C3564F">
        <w:t xml:space="preserve"> providers who each have been issued with a unique login user name and password.</w:t>
      </w:r>
    </w:p>
    <w:p w:rsidR="00033443" w:rsidRPr="00033443" w:rsidRDefault="00CB66BC" w:rsidP="00CB66BC">
      <w:pPr>
        <w:pStyle w:val="Rparagraph"/>
        <w:ind w:left="567" w:hanging="567"/>
        <w:jc w:val="both"/>
      </w:pPr>
      <w:r w:rsidRPr="006322F9">
        <w:t xml:space="preserve">Different </w:t>
      </w:r>
      <w:r>
        <w:t xml:space="preserve">teams within the council are responsible for commissioning care, inputting the rates payable and the providers' details into the </w:t>
      </w:r>
      <w:r w:rsidRPr="001407DE">
        <w:t xml:space="preserve">Liquidlogic Adults System (LAS) </w:t>
      </w:r>
      <w:r>
        <w:t>finance module provided by ContrOCC, and for making any amendments to the care commissioned, for example where additional care is required in an emergency. There is therefore adequate segregation of duties.</w:t>
      </w:r>
    </w:p>
    <w:p w:rsidR="00033443" w:rsidRPr="00033443" w:rsidRDefault="00CB66BC" w:rsidP="00CB66BC">
      <w:pPr>
        <w:pStyle w:val="Rparagraph"/>
        <w:ind w:left="567" w:hanging="567"/>
        <w:jc w:val="both"/>
      </w:pPr>
      <w:r w:rsidRPr="00C3564F">
        <w:t xml:space="preserve">Our testing of a sample of 30 payments to </w:t>
      </w:r>
      <w:r>
        <w:t>h</w:t>
      </w:r>
      <w:r w:rsidRPr="00C3564F">
        <w:t xml:space="preserve">omecare </w:t>
      </w:r>
      <w:r>
        <w:t>f</w:t>
      </w:r>
      <w:r w:rsidRPr="00C3564F">
        <w:t xml:space="preserve">ramework providers and 20 payments to </w:t>
      </w:r>
      <w:r>
        <w:t>r</w:t>
      </w:r>
      <w:r w:rsidRPr="00C3564F">
        <w:t xml:space="preserve">esidential </w:t>
      </w:r>
      <w:r>
        <w:t>c</w:t>
      </w:r>
      <w:r w:rsidRPr="00C3564F">
        <w:t xml:space="preserve">are homes </w:t>
      </w:r>
      <w:r>
        <w:t xml:space="preserve">indicated that </w:t>
      </w:r>
      <w:r w:rsidRPr="00C3564F">
        <w:t xml:space="preserve">they were </w:t>
      </w:r>
      <w:r>
        <w:t>all made</w:t>
      </w:r>
      <w:r w:rsidRPr="00C3564F">
        <w:t xml:space="preserve"> correctly and in a timely manner. </w:t>
      </w:r>
      <w:r>
        <w:t xml:space="preserve">Further </w:t>
      </w:r>
      <w:r w:rsidRPr="00C3564F">
        <w:t xml:space="preserve">testing </w:t>
      </w:r>
      <w:r>
        <w:t xml:space="preserve">also </w:t>
      </w:r>
      <w:r w:rsidRPr="00C3564F">
        <w:t>verified the rate</w:t>
      </w:r>
      <w:r w:rsidRPr="006322F9">
        <w:t>s</w:t>
      </w:r>
      <w:r w:rsidRPr="00C3564F">
        <w:t xml:space="preserve"> paid.</w:t>
      </w:r>
    </w:p>
    <w:p w:rsidR="00033443" w:rsidRPr="00033443" w:rsidRDefault="00CB66BC" w:rsidP="00CB66BC">
      <w:pPr>
        <w:tabs>
          <w:tab w:val="num" w:pos="567"/>
          <w:tab w:val="right" w:pos="9072"/>
        </w:tabs>
        <w:spacing w:before="120" w:after="120" w:line="240" w:lineRule="auto"/>
        <w:ind w:left="567"/>
        <w:jc w:val="both"/>
        <w:rPr>
          <w:rFonts w:ascii="Arial" w:hAnsi="Arial" w:cs="Arial"/>
          <w:b/>
          <w:sz w:val="24"/>
          <w:szCs w:val="24"/>
          <w:lang w:eastAsia="en-GB"/>
        </w:rPr>
      </w:pPr>
      <w:r w:rsidRPr="00033443">
        <w:rPr>
          <w:rFonts w:ascii="Arial" w:hAnsi="Arial" w:cs="Arial"/>
          <w:b/>
          <w:sz w:val="24"/>
          <w:szCs w:val="24"/>
          <w:lang w:eastAsia="en-GB"/>
        </w:rPr>
        <w:t xml:space="preserve">Adult Social Care </w:t>
      </w:r>
      <w:r>
        <w:rPr>
          <w:rFonts w:ascii="Arial" w:hAnsi="Arial" w:cs="Arial"/>
          <w:b/>
          <w:sz w:val="24"/>
          <w:szCs w:val="24"/>
          <w:lang w:eastAsia="en-GB"/>
        </w:rPr>
        <w:t>t</w:t>
      </w:r>
      <w:r w:rsidRPr="00033443">
        <w:rPr>
          <w:rFonts w:ascii="Arial" w:hAnsi="Arial" w:cs="Arial"/>
          <w:b/>
          <w:sz w:val="24"/>
          <w:szCs w:val="24"/>
          <w:lang w:eastAsia="en-GB"/>
        </w:rPr>
        <w:t xml:space="preserve">raining and </w:t>
      </w:r>
      <w:r>
        <w:rPr>
          <w:rFonts w:ascii="Arial" w:hAnsi="Arial" w:cs="Arial"/>
          <w:b/>
          <w:sz w:val="24"/>
          <w:szCs w:val="24"/>
          <w:lang w:eastAsia="en-GB"/>
        </w:rPr>
        <w:t>d</w:t>
      </w:r>
      <w:r w:rsidRPr="00033443">
        <w:rPr>
          <w:rFonts w:ascii="Arial" w:hAnsi="Arial" w:cs="Arial"/>
          <w:b/>
          <w:sz w:val="24"/>
          <w:szCs w:val="24"/>
          <w:lang w:eastAsia="en-GB"/>
        </w:rPr>
        <w:t xml:space="preserve">evelopment </w:t>
      </w:r>
      <w:r w:rsidRPr="00033443">
        <w:rPr>
          <w:rFonts w:ascii="Arial" w:hAnsi="Arial" w:cs="Arial"/>
          <w:sz w:val="24"/>
          <w:szCs w:val="24"/>
          <w:lang w:eastAsia="en-GB"/>
        </w:rPr>
        <w:tab/>
        <w:t>(Substantial assurance)</w:t>
      </w:r>
    </w:p>
    <w:p w:rsidR="00033443" w:rsidRPr="00033443" w:rsidRDefault="00CB66BC" w:rsidP="00CB66BC">
      <w:pPr>
        <w:pStyle w:val="Rparagraph"/>
        <w:ind w:left="567" w:hanging="567"/>
        <w:jc w:val="both"/>
      </w:pPr>
      <w:r w:rsidRPr="001C7779">
        <w:t xml:space="preserve">The </w:t>
      </w:r>
      <w:r>
        <w:t>S</w:t>
      </w:r>
      <w:r w:rsidRPr="001C7779">
        <w:t xml:space="preserve">kills, </w:t>
      </w:r>
      <w:r>
        <w:t>L</w:t>
      </w:r>
      <w:r w:rsidRPr="001C7779">
        <w:t xml:space="preserve">earning and </w:t>
      </w:r>
      <w:r>
        <w:t>D</w:t>
      </w:r>
      <w:r w:rsidRPr="001C7779">
        <w:t xml:space="preserve">evelopment </w:t>
      </w:r>
      <w:r>
        <w:t>S</w:t>
      </w:r>
      <w:r w:rsidRPr="001C7779">
        <w:t>ervice provide</w:t>
      </w:r>
      <w:r>
        <w:t>s</w:t>
      </w:r>
      <w:r w:rsidRPr="001C7779">
        <w:t xml:space="preserve"> learning and development opportunities for all </w:t>
      </w:r>
      <w:r>
        <w:t>the council's staff, and more than</w:t>
      </w:r>
      <w:r w:rsidRPr="001C7779">
        <w:t xml:space="preserve"> 80 courses </w:t>
      </w:r>
      <w:r>
        <w:t xml:space="preserve">are </w:t>
      </w:r>
      <w:r w:rsidRPr="001C7779">
        <w:t xml:space="preserve">available specifically for </w:t>
      </w:r>
      <w:r>
        <w:t>staff in A</w:t>
      </w:r>
      <w:r w:rsidRPr="001C7779">
        <w:t xml:space="preserve">dult </w:t>
      </w:r>
      <w:r>
        <w:t>Services</w:t>
      </w:r>
      <w:r w:rsidRPr="001C7779">
        <w:t>.</w:t>
      </w:r>
      <w:r>
        <w:t xml:space="preserve"> I</w:t>
      </w:r>
      <w:r w:rsidRPr="001C7779">
        <w:t xml:space="preserve">n </w:t>
      </w:r>
      <w:r>
        <w:t xml:space="preserve">2018/19 </w:t>
      </w:r>
      <w:r w:rsidRPr="001C7779">
        <w:t>1</w:t>
      </w:r>
      <w:r>
        <w:t>,</w:t>
      </w:r>
      <w:r w:rsidRPr="001C7779">
        <w:t xml:space="preserve">450 courses </w:t>
      </w:r>
      <w:r>
        <w:t>relating to s</w:t>
      </w:r>
      <w:r w:rsidRPr="00500451">
        <w:t xml:space="preserve">ocial </w:t>
      </w:r>
      <w:r>
        <w:t>c</w:t>
      </w:r>
      <w:r w:rsidRPr="00500451">
        <w:t>are</w:t>
      </w:r>
      <w:r w:rsidRPr="001C7779">
        <w:t xml:space="preserve"> and </w:t>
      </w:r>
      <w:r>
        <w:t>more than</w:t>
      </w:r>
      <w:r w:rsidRPr="001C7779">
        <w:t xml:space="preserve"> 320 </w:t>
      </w:r>
      <w:r>
        <w:t xml:space="preserve">courses on the LAS and </w:t>
      </w:r>
      <w:r w:rsidRPr="001407DE">
        <w:t xml:space="preserve">LiquidLogic Children's System (LCS) </w:t>
      </w:r>
      <w:r>
        <w:t>systems were delivered, with over 9,500 course places taken by Adult</w:t>
      </w:r>
      <w:r w:rsidRPr="001C7779">
        <w:t xml:space="preserve"> </w:t>
      </w:r>
      <w:r>
        <w:t>S</w:t>
      </w:r>
      <w:r w:rsidRPr="001C7779">
        <w:t>ervice</w:t>
      </w:r>
      <w:r>
        <w:t>'s</w:t>
      </w:r>
      <w:r w:rsidRPr="001C7779">
        <w:t xml:space="preserve"> </w:t>
      </w:r>
      <w:r>
        <w:t>staff.</w:t>
      </w:r>
    </w:p>
    <w:p w:rsidR="00033443" w:rsidRPr="00033443" w:rsidRDefault="00CB66BC" w:rsidP="00CB66BC">
      <w:pPr>
        <w:pStyle w:val="Rparagraph"/>
        <w:ind w:left="567" w:hanging="567"/>
        <w:jc w:val="both"/>
      </w:pPr>
      <w:r w:rsidRPr="003B7F6F">
        <w:t xml:space="preserve">A forum of representatives from Adult Social Care and the Skills, Learning and Development Service oversees training plans, identifies where training is required, assesses and reviews existing courses and commissions </w:t>
      </w:r>
      <w:r>
        <w:t xml:space="preserve">new </w:t>
      </w:r>
      <w:r w:rsidRPr="003B7F6F">
        <w:t xml:space="preserve">training. The Adult Social Care Academy has </w:t>
      </w:r>
      <w:r>
        <w:t xml:space="preserve">also </w:t>
      </w:r>
      <w:r w:rsidRPr="003B7F6F">
        <w:t xml:space="preserve">been established to develop and support </w:t>
      </w:r>
      <w:r>
        <w:t xml:space="preserve">staff new to adult social care </w:t>
      </w:r>
      <w:r w:rsidRPr="003B7F6F">
        <w:t>who meet predetermined criteria</w:t>
      </w:r>
      <w:r>
        <w:t>,</w:t>
      </w:r>
      <w:r w:rsidRPr="003B7F6F">
        <w:t xml:space="preserve"> and </w:t>
      </w:r>
      <w:r>
        <w:t>it</w:t>
      </w:r>
      <w:r w:rsidRPr="003B7F6F">
        <w:t xml:space="preserve"> supports newly qualified social workers through their first </w:t>
      </w:r>
      <w:r>
        <w:t xml:space="preserve">assessed and supported </w:t>
      </w:r>
      <w:r w:rsidRPr="003B7F6F">
        <w:t xml:space="preserve">year </w:t>
      </w:r>
      <w:r>
        <w:t xml:space="preserve">in </w:t>
      </w:r>
      <w:r w:rsidRPr="003B7F6F">
        <w:t>employment.</w:t>
      </w:r>
      <w:r>
        <w:t xml:space="preserve"> I</w:t>
      </w:r>
      <w:r w:rsidRPr="005E4D53">
        <w:t xml:space="preserve">n the majority of cases </w:t>
      </w:r>
      <w:r>
        <w:t xml:space="preserve">social care </w:t>
      </w:r>
      <w:r w:rsidRPr="005E4D53">
        <w:t xml:space="preserve">workers </w:t>
      </w:r>
      <w:r>
        <w:t>are allocated a place i</w:t>
      </w:r>
      <w:r w:rsidRPr="005E4D53">
        <w:t>n the next available cohort after their start date.</w:t>
      </w:r>
    </w:p>
    <w:p w:rsidR="00033443" w:rsidRDefault="00CB66BC" w:rsidP="005622F3">
      <w:pPr>
        <w:pStyle w:val="Rparagraph"/>
        <w:ind w:left="567" w:hanging="567"/>
        <w:jc w:val="both"/>
      </w:pPr>
      <w:r>
        <w:t>T</w:t>
      </w:r>
      <w:r w:rsidRPr="005E4D53">
        <w:t>raining courses and programmes</w:t>
      </w:r>
      <w:r>
        <w:t xml:space="preserve"> are </w:t>
      </w:r>
      <w:r w:rsidRPr="005E4D53">
        <w:t>continual</w:t>
      </w:r>
      <w:r>
        <w:t>ly</w:t>
      </w:r>
      <w:r w:rsidRPr="005E4D53">
        <w:t xml:space="preserve"> review</w:t>
      </w:r>
      <w:r>
        <w:t>ed</w:t>
      </w:r>
      <w:r w:rsidRPr="005E4D53">
        <w:t xml:space="preserve"> and revis</w:t>
      </w:r>
      <w:r>
        <w:t>ed,</w:t>
      </w:r>
      <w:r w:rsidRPr="003B7F6F">
        <w:t xml:space="preserve"> </w:t>
      </w:r>
      <w:r w:rsidRPr="005E4D53">
        <w:t xml:space="preserve">and </w:t>
      </w:r>
      <w:r>
        <w:t xml:space="preserve">are </w:t>
      </w:r>
      <w:r w:rsidRPr="005E4D53">
        <w:t xml:space="preserve">delivered </w:t>
      </w:r>
      <w:r>
        <w:t xml:space="preserve">through </w:t>
      </w:r>
      <w:r w:rsidRPr="005E4D53">
        <w:t>a range of approaches from traditional classroom training to e-learning, shadowing and mentoring</w:t>
      </w:r>
      <w:r>
        <w:t xml:space="preserve">. </w:t>
      </w:r>
      <w:r w:rsidRPr="003B7F6F">
        <w:t>Comprehensive training plans are in place for adult social care servic</w:t>
      </w:r>
      <w:r>
        <w:t>es comprising essential service-</w:t>
      </w:r>
      <w:r w:rsidRPr="003B7F6F">
        <w:t>specific and mandatory courses, information and guidance for accessing additional learning</w:t>
      </w:r>
      <w:r>
        <w:t>,</w:t>
      </w:r>
      <w:r w:rsidRPr="003B7F6F">
        <w:t xml:space="preserve"> and recommendations for training </w:t>
      </w:r>
      <w:r>
        <w:t>to</w:t>
      </w:r>
      <w:r w:rsidRPr="003B7F6F">
        <w:t xml:space="preserve"> support continuing professional development.</w:t>
      </w:r>
    </w:p>
    <w:p w:rsidR="005622F3" w:rsidRPr="00033443" w:rsidRDefault="005622F3" w:rsidP="005622F3">
      <w:pPr>
        <w:pStyle w:val="Rparagraph"/>
        <w:numPr>
          <w:ilvl w:val="0"/>
          <w:numId w:val="0"/>
        </w:numPr>
        <w:ind w:left="567"/>
        <w:jc w:val="both"/>
      </w:pPr>
    </w:p>
    <w:p w:rsidR="00B964C0" w:rsidRPr="00B964C0" w:rsidRDefault="00CB66BC" w:rsidP="00CB66BC">
      <w:pPr>
        <w:tabs>
          <w:tab w:val="num" w:pos="567"/>
          <w:tab w:val="right" w:pos="9072"/>
        </w:tabs>
        <w:spacing w:before="120" w:after="120" w:line="240" w:lineRule="auto"/>
        <w:ind w:left="567"/>
        <w:jc w:val="both"/>
        <w:rPr>
          <w:rFonts w:ascii="Arial" w:hAnsi="Arial" w:cs="Arial"/>
          <w:b/>
          <w:sz w:val="24"/>
          <w:szCs w:val="24"/>
          <w:lang w:eastAsia="en-GB"/>
        </w:rPr>
      </w:pPr>
      <w:r w:rsidRPr="00B964C0">
        <w:rPr>
          <w:rFonts w:ascii="Arial" w:hAnsi="Arial" w:cs="Arial"/>
          <w:b/>
          <w:sz w:val="24"/>
          <w:szCs w:val="24"/>
          <w:lang w:eastAsia="en-GB"/>
        </w:rPr>
        <w:lastRenderedPageBreak/>
        <w:t>Transforming community equipment</w:t>
      </w:r>
      <w:r w:rsidRPr="00B964C0">
        <w:rPr>
          <w:rFonts w:ascii="Arial" w:hAnsi="Arial" w:cs="Arial"/>
          <w:sz w:val="24"/>
          <w:szCs w:val="24"/>
          <w:lang w:eastAsia="en-GB"/>
        </w:rPr>
        <w:tab/>
        <w:t>(Moderate assurance)</w:t>
      </w:r>
    </w:p>
    <w:p w:rsidR="00B964C0" w:rsidRPr="00B964C0" w:rsidRDefault="00CB66BC" w:rsidP="00CB66BC">
      <w:pPr>
        <w:pStyle w:val="Rparagraph"/>
        <w:ind w:left="567" w:hanging="567"/>
        <w:jc w:val="both"/>
      </w:pPr>
      <w:r w:rsidRPr="009F6283">
        <w:t xml:space="preserve">Community equipment plays a vital role in promoting the independence of </w:t>
      </w:r>
      <w:r>
        <w:t>many</w:t>
      </w:r>
      <w:r w:rsidRPr="009F6283">
        <w:t xml:space="preserve"> people with disabilities of all ages</w:t>
      </w:r>
      <w:r>
        <w:t>,</w:t>
      </w:r>
      <w:r w:rsidRPr="009F6283">
        <w:t xml:space="preserve"> helping them to carry out daily activities and prevent</w:t>
      </w:r>
      <w:r>
        <w:t>ing, reducing</w:t>
      </w:r>
      <w:r w:rsidRPr="009F6283">
        <w:t xml:space="preserve"> or delay</w:t>
      </w:r>
      <w:r>
        <w:t>ing</w:t>
      </w:r>
      <w:r w:rsidRPr="009F6283">
        <w:t xml:space="preserve"> their need for </w:t>
      </w:r>
      <w:r>
        <w:t xml:space="preserve">additional </w:t>
      </w:r>
      <w:r w:rsidRPr="009F6283">
        <w:t xml:space="preserve">care and support. </w:t>
      </w:r>
      <w:r>
        <w:t xml:space="preserve">Equipment may </w:t>
      </w:r>
      <w:r w:rsidRPr="009F6283">
        <w:t>be prescribed following an assessment by a health or social care practitioner</w:t>
      </w:r>
      <w:r>
        <w:t xml:space="preserve">. It is </w:t>
      </w:r>
      <w:r w:rsidRPr="009F6283">
        <w:t xml:space="preserve">funded by the council if it primarily meets an eligible social care need, by the NHS if it primarily meets a health care need, or jointly funded </w:t>
      </w:r>
      <w:r>
        <w:t xml:space="preserve">where </w:t>
      </w:r>
      <w:r w:rsidRPr="009F6283">
        <w:t xml:space="preserve">it meets both health and social care needs. </w:t>
      </w:r>
    </w:p>
    <w:p w:rsidR="00B964C0" w:rsidRPr="00B964C0" w:rsidRDefault="00CB66BC" w:rsidP="00CB66BC">
      <w:pPr>
        <w:pStyle w:val="Rparagraph"/>
        <w:ind w:left="567" w:hanging="567"/>
        <w:jc w:val="both"/>
      </w:pPr>
      <w:r w:rsidRPr="009F6283">
        <w:t xml:space="preserve">The </w:t>
      </w:r>
      <w:r>
        <w:t>c</w:t>
      </w:r>
      <w:r w:rsidRPr="009F6283">
        <w:t xml:space="preserve">ouncil </w:t>
      </w:r>
      <w:r>
        <w:t xml:space="preserve">and </w:t>
      </w:r>
      <w:r w:rsidRPr="009F6283">
        <w:t xml:space="preserve">the </w:t>
      </w:r>
      <w:r>
        <w:t xml:space="preserve">county's </w:t>
      </w:r>
      <w:r w:rsidRPr="009F6283">
        <w:t xml:space="preserve">six </w:t>
      </w:r>
      <w:r>
        <w:t>clinical commissioning groups</w:t>
      </w:r>
      <w:r w:rsidRPr="009F6283">
        <w:t xml:space="preserve"> have collaborated to jointly commission and procure a single community equipment service</w:t>
      </w:r>
      <w:r>
        <w:t xml:space="preserve"> in pursuit of value for money and economies</w:t>
      </w:r>
      <w:r w:rsidRPr="009F6283">
        <w:t xml:space="preserve"> of scale</w:t>
      </w:r>
      <w:r>
        <w:t>.</w:t>
      </w:r>
    </w:p>
    <w:p w:rsidR="00B964C0" w:rsidRPr="00B964C0" w:rsidRDefault="00CB66BC" w:rsidP="00CB66BC">
      <w:pPr>
        <w:pStyle w:val="Rparagraph"/>
        <w:ind w:left="567" w:hanging="567"/>
        <w:jc w:val="both"/>
      </w:pPr>
      <w:r>
        <w:t xml:space="preserve">Alongside this, a </w:t>
      </w:r>
      <w:r w:rsidRPr="00A920B8">
        <w:t xml:space="preserve">'section 75' agreement in which the council will act as lead commissioner </w:t>
      </w:r>
      <w:r>
        <w:t>has been developed that will transfer</w:t>
      </w:r>
      <w:r w:rsidRPr="00A920B8">
        <w:t xml:space="preserve"> responsibility from the six NHS bodies to the council. The agreement is currently </w:t>
      </w:r>
      <w:r>
        <w:t xml:space="preserve">still </w:t>
      </w:r>
      <w:r w:rsidRPr="00A920B8">
        <w:t>in draft pending its agreement by the partners and the pooled budget arrangements have not yet been implemented.</w:t>
      </w:r>
      <w:r>
        <w:t xml:space="preserve"> Whilst financial contributions and the arrangements regarding annual under or overspends are documented in the agreement, the detailed financial monitoring arrangements are still to be clarified.  </w:t>
      </w:r>
    </w:p>
    <w:p w:rsidR="00B964C0" w:rsidRPr="002F389A" w:rsidRDefault="00CB66BC" w:rsidP="00CB66BC">
      <w:pPr>
        <w:tabs>
          <w:tab w:val="num" w:pos="567"/>
          <w:tab w:val="right" w:pos="9072"/>
        </w:tabs>
        <w:spacing w:before="120" w:after="120" w:line="240" w:lineRule="auto"/>
        <w:ind w:left="567"/>
        <w:jc w:val="both"/>
        <w:rPr>
          <w:rFonts w:ascii="Arial" w:hAnsi="Arial" w:cs="Arial"/>
          <w:b/>
          <w:sz w:val="24"/>
          <w:szCs w:val="24"/>
          <w:lang w:eastAsia="en-GB"/>
        </w:rPr>
      </w:pPr>
      <w:r w:rsidRPr="00B964C0">
        <w:rPr>
          <w:rFonts w:ascii="Arial" w:hAnsi="Arial" w:cs="Arial"/>
          <w:b/>
          <w:sz w:val="24"/>
          <w:szCs w:val="24"/>
          <w:lang w:eastAsia="en-GB"/>
        </w:rPr>
        <w:t>Children and Fami</w:t>
      </w:r>
      <w:r>
        <w:rPr>
          <w:rFonts w:ascii="Arial" w:hAnsi="Arial" w:cs="Arial"/>
          <w:b/>
          <w:sz w:val="24"/>
          <w:szCs w:val="24"/>
          <w:lang w:eastAsia="en-GB"/>
        </w:rPr>
        <w:t>ly Wellbeing Service core offer</w:t>
      </w:r>
      <w:r>
        <w:rPr>
          <w:rFonts w:ascii="Arial" w:hAnsi="Arial" w:cs="Arial"/>
          <w:b/>
          <w:sz w:val="24"/>
          <w:szCs w:val="24"/>
          <w:lang w:eastAsia="en-GB"/>
        </w:rPr>
        <w:tab/>
      </w:r>
      <w:r w:rsidRPr="002F389A">
        <w:rPr>
          <w:rFonts w:ascii="Arial" w:hAnsi="Arial" w:cs="Arial"/>
          <w:sz w:val="24"/>
          <w:szCs w:val="24"/>
          <w:lang w:eastAsia="en-GB"/>
        </w:rPr>
        <w:t>(Moderate assurance)</w:t>
      </w:r>
    </w:p>
    <w:p w:rsidR="00B964C0" w:rsidRPr="002F389A" w:rsidRDefault="00CB66BC" w:rsidP="00CB66BC">
      <w:pPr>
        <w:pStyle w:val="Rparagraph"/>
        <w:ind w:left="567" w:hanging="567"/>
        <w:jc w:val="both"/>
      </w:pPr>
      <w:r w:rsidRPr="000D1BED">
        <w:t xml:space="preserve">The Children and Family Wellbeing Service fulfils the council's statutory duty to provide local parenting and other family support. A wide range of services is offered including health services, parenting advice, access to specialist support, support for expectant </w:t>
      </w:r>
      <w:r>
        <w:t>parents</w:t>
      </w:r>
      <w:r w:rsidRPr="000D1BED">
        <w:t>, and play activities for young children. The council currently runs 57 children and family neighbourhood centres across all 12 of the county's districts, 32 of which are registered children's centres.</w:t>
      </w:r>
    </w:p>
    <w:p w:rsidR="00B964C0" w:rsidRPr="002F389A" w:rsidRDefault="00CB66BC" w:rsidP="00CB66BC">
      <w:pPr>
        <w:pStyle w:val="Rparagraph"/>
        <w:ind w:left="567" w:hanging="567"/>
        <w:jc w:val="both"/>
      </w:pPr>
      <w:r w:rsidRPr="00A73D83">
        <w:t>The service</w:t>
      </w:r>
      <w:r>
        <w:t xml:space="preserve"> operates </w:t>
      </w:r>
      <w:r w:rsidRPr="00A73D83">
        <w:t>appropriate governance arrangements</w:t>
      </w:r>
      <w:r>
        <w:t xml:space="preserve">, being </w:t>
      </w:r>
      <w:r w:rsidRPr="00A73D83">
        <w:t xml:space="preserve">subject to both internal and external challenge, and is proactive in its approach to service and performance improvement. A framework of policies and procedures supports service delivery, promotes a consistent approach and </w:t>
      </w:r>
      <w:r>
        <w:t>sustains</w:t>
      </w:r>
      <w:r w:rsidRPr="00A73D83">
        <w:t xml:space="preserve"> a safeguarding culture.</w:t>
      </w:r>
      <w:r>
        <w:t xml:space="preserve"> There is a </w:t>
      </w:r>
      <w:r w:rsidRPr="000D1BED">
        <w:t>comprehensive training plan and effective performance management</w:t>
      </w:r>
      <w:r>
        <w:t>. S</w:t>
      </w:r>
      <w:r w:rsidRPr="000D1BED">
        <w:t>taff supervision and professional development opportunities drive continuous improvement within the service. The majority of staff have received mandatory training.</w:t>
      </w:r>
    </w:p>
    <w:p w:rsidR="00B964C0" w:rsidRDefault="00CB66BC" w:rsidP="00CB66BC">
      <w:pPr>
        <w:pStyle w:val="Rparagraph"/>
        <w:ind w:left="567" w:hanging="567"/>
        <w:jc w:val="both"/>
      </w:pPr>
      <w:r w:rsidRPr="003B4C5A">
        <w:t>The service shares information and works with other agencies and professionals to target provision, reflecting families’ wishes. Baseline data is captured and progress is tracked to achieve the desired outcomes for targeted families</w:t>
      </w:r>
      <w:r>
        <w:t xml:space="preserve"> but t</w:t>
      </w:r>
      <w:r w:rsidRPr="003B4C5A">
        <w:t>he service's managers recognise that more could be done to obtain feedback and demonstrate stakeholder involvement in service changes. A majority of the closed cases we sampled had not resulted in intervention, predominantly due to families disengaging with the service, which is an inefficient use of resources and could leave vulnerable families at risk.</w:t>
      </w:r>
    </w:p>
    <w:p w:rsidR="005622F3" w:rsidRDefault="005622F3" w:rsidP="005622F3">
      <w:pPr>
        <w:pStyle w:val="Rheading"/>
        <w:numPr>
          <w:ilvl w:val="0"/>
          <w:numId w:val="0"/>
        </w:numPr>
        <w:ind w:left="567" w:hanging="567"/>
      </w:pPr>
    </w:p>
    <w:p w:rsidR="005622F3" w:rsidRDefault="005622F3" w:rsidP="005622F3">
      <w:pPr>
        <w:pStyle w:val="Rheading"/>
        <w:numPr>
          <w:ilvl w:val="0"/>
          <w:numId w:val="0"/>
        </w:numPr>
        <w:ind w:left="567" w:hanging="567"/>
      </w:pPr>
    </w:p>
    <w:p w:rsidR="005622F3" w:rsidRPr="002F389A" w:rsidRDefault="005622F3" w:rsidP="005622F3">
      <w:pPr>
        <w:pStyle w:val="Rheading"/>
        <w:numPr>
          <w:ilvl w:val="0"/>
          <w:numId w:val="0"/>
        </w:numPr>
        <w:ind w:left="567" w:hanging="567"/>
      </w:pPr>
    </w:p>
    <w:p w:rsidR="00B0764D" w:rsidRPr="00B0764D" w:rsidRDefault="00CB66BC" w:rsidP="00CB66BC">
      <w:pPr>
        <w:tabs>
          <w:tab w:val="num" w:pos="567"/>
          <w:tab w:val="right" w:pos="9072"/>
        </w:tabs>
        <w:spacing w:before="120" w:line="240" w:lineRule="auto"/>
        <w:ind w:left="567"/>
        <w:jc w:val="both"/>
        <w:rPr>
          <w:rFonts w:ascii="Arial" w:hAnsi="Arial" w:cs="Arial"/>
          <w:b/>
          <w:sz w:val="24"/>
          <w:szCs w:val="24"/>
          <w:lang w:eastAsia="en-GB"/>
        </w:rPr>
      </w:pPr>
      <w:r w:rsidRPr="00B0764D">
        <w:rPr>
          <w:rFonts w:ascii="Arial" w:hAnsi="Arial" w:cs="Arial"/>
          <w:b/>
          <w:sz w:val="24"/>
          <w:szCs w:val="24"/>
          <w:lang w:eastAsia="en-GB"/>
        </w:rPr>
        <w:t>Hospital discharge: case management and case audit process</w:t>
      </w:r>
    </w:p>
    <w:p w:rsidR="00B0764D" w:rsidRPr="00750FD6" w:rsidRDefault="00CB66BC" w:rsidP="0039524A">
      <w:pPr>
        <w:tabs>
          <w:tab w:val="num" w:pos="567"/>
          <w:tab w:val="right" w:pos="9072"/>
        </w:tabs>
        <w:spacing w:after="120" w:line="240" w:lineRule="auto"/>
        <w:ind w:left="567"/>
        <w:jc w:val="both"/>
        <w:rPr>
          <w:rFonts w:ascii="Arial" w:hAnsi="Arial" w:cs="Arial"/>
          <w:sz w:val="24"/>
          <w:szCs w:val="24"/>
          <w:lang w:eastAsia="en-GB"/>
        </w:rPr>
      </w:pPr>
      <w:r>
        <w:rPr>
          <w:rFonts w:ascii="Arial" w:hAnsi="Arial" w:cs="Arial"/>
          <w:sz w:val="24"/>
          <w:szCs w:val="24"/>
          <w:lang w:eastAsia="en-GB"/>
        </w:rPr>
        <w:tab/>
        <w:t xml:space="preserve">(Moderate </w:t>
      </w:r>
      <w:r w:rsidRPr="00750FD6">
        <w:rPr>
          <w:rFonts w:ascii="Arial" w:hAnsi="Arial" w:cs="Arial"/>
          <w:sz w:val="24"/>
          <w:szCs w:val="24"/>
          <w:lang w:eastAsia="en-GB"/>
        </w:rPr>
        <w:t>assurance</w:t>
      </w:r>
      <w:r>
        <w:rPr>
          <w:rFonts w:ascii="Arial" w:hAnsi="Arial" w:cs="Arial"/>
          <w:sz w:val="24"/>
          <w:szCs w:val="24"/>
          <w:lang w:eastAsia="en-GB"/>
        </w:rPr>
        <w:t>)</w:t>
      </w:r>
    </w:p>
    <w:p w:rsidR="00B0764D" w:rsidRPr="00B0764D" w:rsidRDefault="00CB66BC" w:rsidP="00CB66BC">
      <w:pPr>
        <w:pStyle w:val="Rparagraph"/>
        <w:ind w:left="567" w:hanging="567"/>
        <w:jc w:val="both"/>
      </w:pPr>
      <w:r>
        <w:t>One of the aims of the Care Act 2014 is to ensure that people do not remain in hospital when they are medically fit to leave. Within each of Lancashire's teaching hospitals is a team of social workers and social care support officers who work alongside NHS staff to plan the timely discharge of patients with care and support needs.</w:t>
      </w:r>
    </w:p>
    <w:p w:rsidR="00B0764D" w:rsidRPr="00B0764D" w:rsidRDefault="00CB66BC" w:rsidP="00CB66BC">
      <w:pPr>
        <w:pStyle w:val="Rparagraph"/>
        <w:ind w:left="567" w:hanging="567"/>
        <w:jc w:val="both"/>
      </w:pPr>
      <w:r>
        <w:t xml:space="preserve">Service users are placed at the heart of the process to build on their strengths </w:t>
      </w:r>
      <w:proofErr w:type="gramStart"/>
      <w:r>
        <w:t>and</w:t>
      </w:r>
      <w:proofErr w:type="gramEnd"/>
      <w:r>
        <w:t xml:space="preserve"> </w:t>
      </w:r>
      <w:r w:rsidRPr="0019195C">
        <w:t>achieve the outcomes they desire. At the same time, the council's aim is to reduce its costs, ideally avoiding placing service users in residential care by enabling them to return to their own homes. Different pathways are used to assess a service user either in the hospital or at home and assessments are undertaken by an appropriate combination of social workers, social care support officers, occupational therapists and health workers.</w:t>
      </w:r>
    </w:p>
    <w:p w:rsidR="00B0764D" w:rsidRPr="00B0764D" w:rsidRDefault="00CB66BC" w:rsidP="00CB66BC">
      <w:pPr>
        <w:pStyle w:val="Rparagraph"/>
        <w:ind w:left="567" w:hanging="567"/>
        <w:jc w:val="both"/>
      </w:pPr>
      <w:r w:rsidRPr="0019195C">
        <w:t xml:space="preserve">The case management practices set up under the Passport to Independence programme are </w:t>
      </w:r>
      <w:r w:rsidRPr="00D96839">
        <w:t>working well</w:t>
      </w:r>
      <w:r>
        <w:t xml:space="preserve"> and their development has continued</w:t>
      </w:r>
      <w:r w:rsidRPr="00D96839">
        <w:t xml:space="preserve">. </w:t>
      </w:r>
      <w:r>
        <w:t>The re</w:t>
      </w:r>
      <w:r w:rsidRPr="00D96839">
        <w:t xml:space="preserve">introduction of the </w:t>
      </w:r>
      <w:r>
        <w:t xml:space="preserve">formal </w:t>
      </w:r>
      <w:r w:rsidRPr="00D96839">
        <w:t xml:space="preserve">case audit review process </w:t>
      </w:r>
      <w:r>
        <w:t xml:space="preserve">in October 2018 has encouraged </w:t>
      </w:r>
      <w:r w:rsidRPr="00D96839">
        <w:t xml:space="preserve">staff </w:t>
      </w:r>
      <w:r>
        <w:t>to ensure</w:t>
      </w:r>
      <w:r w:rsidRPr="00D96839">
        <w:t xml:space="preserve"> that </w:t>
      </w:r>
      <w:r>
        <w:t xml:space="preserve">the LAS system </w:t>
      </w:r>
      <w:r w:rsidRPr="00D96839">
        <w:t xml:space="preserve">is </w:t>
      </w:r>
      <w:r>
        <w:t xml:space="preserve">kept </w:t>
      </w:r>
      <w:r w:rsidRPr="00D96839">
        <w:t xml:space="preserve">up to date and </w:t>
      </w:r>
      <w:r>
        <w:t xml:space="preserve">holds sufficient </w:t>
      </w:r>
      <w:r w:rsidRPr="006517EE">
        <w:t>informatio</w:t>
      </w:r>
      <w:r>
        <w:t xml:space="preserve">n to support decision making. </w:t>
      </w:r>
      <w:r w:rsidRPr="00FB5F7D">
        <w:t xml:space="preserve">Feedback from </w:t>
      </w:r>
      <w:r>
        <w:t xml:space="preserve">case audits </w:t>
      </w:r>
      <w:r w:rsidRPr="00FB5F7D">
        <w:t xml:space="preserve">is </w:t>
      </w:r>
      <w:r>
        <w:t xml:space="preserve">already </w:t>
      </w:r>
      <w:r w:rsidRPr="00FB5F7D">
        <w:t>beginning to have an impact</w:t>
      </w:r>
      <w:r>
        <w:t>, for example in identifying the need for refresher training within some teams.</w:t>
      </w:r>
    </w:p>
    <w:p w:rsidR="00B0764D" w:rsidRPr="00D96839" w:rsidRDefault="00CB66BC" w:rsidP="00CB66BC">
      <w:pPr>
        <w:pStyle w:val="Rparagraph"/>
        <w:ind w:left="567" w:hanging="567"/>
        <w:jc w:val="both"/>
        <w:rPr>
          <w:b/>
        </w:rPr>
      </w:pPr>
      <w:r>
        <w:t>C</w:t>
      </w:r>
      <w:r w:rsidRPr="00D96839">
        <w:t xml:space="preserve">ase notes </w:t>
      </w:r>
      <w:r>
        <w:t>a</w:t>
      </w:r>
      <w:r w:rsidRPr="00D96839">
        <w:t xml:space="preserve">re clear, concise and </w:t>
      </w:r>
      <w:r>
        <w:t xml:space="preserve">flow readily </w:t>
      </w:r>
      <w:r w:rsidRPr="00D96839">
        <w:t>from admission</w:t>
      </w:r>
      <w:r>
        <w:t xml:space="preserve"> to</w:t>
      </w:r>
      <w:r w:rsidRPr="00D96839">
        <w:t xml:space="preserve"> discharge and transfer to the community teams</w:t>
      </w:r>
      <w:r>
        <w:t>,</w:t>
      </w:r>
      <w:r w:rsidRPr="00D96839">
        <w:t xml:space="preserve"> </w:t>
      </w:r>
      <w:r>
        <w:t>but</w:t>
      </w:r>
      <w:r w:rsidRPr="00D96839">
        <w:t xml:space="preserve"> </w:t>
      </w:r>
      <w:r>
        <w:t xml:space="preserve">the broader set of </w:t>
      </w:r>
      <w:r w:rsidRPr="0019195C">
        <w:t xml:space="preserve">records </w:t>
      </w:r>
      <w:r>
        <w:t xml:space="preserve">for service users could be strengthened to ensure that they include </w:t>
      </w:r>
      <w:r w:rsidRPr="006517EE">
        <w:t>sufficient evidence of what care and support has been considered</w:t>
      </w:r>
      <w:r>
        <w:t xml:space="preserve"> and to </w:t>
      </w:r>
      <w:r w:rsidRPr="00D96839">
        <w:t xml:space="preserve">document the financial implications </w:t>
      </w:r>
      <w:r>
        <w:t xml:space="preserve">for </w:t>
      </w:r>
      <w:r w:rsidRPr="00D96839">
        <w:t>all parties</w:t>
      </w:r>
      <w:r>
        <w:t>. G</w:t>
      </w:r>
      <w:r w:rsidRPr="00D96839">
        <w:t xml:space="preserve">uidance has recently been issued to staff </w:t>
      </w:r>
      <w:r>
        <w:t>that</w:t>
      </w:r>
      <w:r w:rsidRPr="00D96839">
        <w:t xml:space="preserve"> should address th</w:t>
      </w:r>
      <w:r>
        <w:t>is.</w:t>
      </w:r>
    </w:p>
    <w:p w:rsidR="00B0764D" w:rsidRPr="00B0764D" w:rsidRDefault="00CB66BC" w:rsidP="00CB66BC">
      <w:pPr>
        <w:tabs>
          <w:tab w:val="num" w:pos="567"/>
          <w:tab w:val="right" w:pos="9072"/>
        </w:tabs>
        <w:spacing w:before="120" w:line="240" w:lineRule="auto"/>
        <w:ind w:left="567"/>
        <w:jc w:val="both"/>
        <w:rPr>
          <w:rFonts w:ascii="Arial" w:hAnsi="Arial" w:cs="Arial"/>
          <w:b/>
          <w:sz w:val="24"/>
          <w:szCs w:val="24"/>
          <w:lang w:eastAsia="en-GB"/>
        </w:rPr>
      </w:pPr>
      <w:r w:rsidRPr="00B0764D">
        <w:rPr>
          <w:rFonts w:ascii="Arial" w:hAnsi="Arial" w:cs="Arial"/>
          <w:b/>
          <w:sz w:val="24"/>
          <w:szCs w:val="24"/>
          <w:lang w:eastAsia="en-GB"/>
        </w:rPr>
        <w:t>Information security within the Fostering, Adoption, Residential and YOT Service (FARY) and the Safeguarding, Inspection and Audit Service (SIA)</w:t>
      </w:r>
    </w:p>
    <w:p w:rsidR="00B0764D" w:rsidRPr="00750FD6" w:rsidRDefault="00CB66BC" w:rsidP="0039524A">
      <w:pPr>
        <w:tabs>
          <w:tab w:val="num" w:pos="567"/>
          <w:tab w:val="right" w:pos="9072"/>
        </w:tabs>
        <w:spacing w:after="120" w:line="240" w:lineRule="auto"/>
        <w:ind w:left="567"/>
        <w:jc w:val="both"/>
        <w:rPr>
          <w:rFonts w:ascii="Arial" w:hAnsi="Arial" w:cs="Arial"/>
          <w:sz w:val="24"/>
          <w:szCs w:val="24"/>
          <w:lang w:eastAsia="en-GB"/>
        </w:rPr>
      </w:pPr>
      <w:r>
        <w:rPr>
          <w:rFonts w:ascii="Arial" w:hAnsi="Arial" w:cs="Arial"/>
          <w:sz w:val="24"/>
          <w:szCs w:val="24"/>
          <w:lang w:eastAsia="en-GB"/>
        </w:rPr>
        <w:tab/>
        <w:t xml:space="preserve">(Moderate </w:t>
      </w:r>
      <w:r w:rsidRPr="00750FD6">
        <w:rPr>
          <w:rFonts w:ascii="Arial" w:hAnsi="Arial" w:cs="Arial"/>
          <w:sz w:val="24"/>
          <w:szCs w:val="24"/>
          <w:lang w:eastAsia="en-GB"/>
        </w:rPr>
        <w:t>assurance</w:t>
      </w:r>
      <w:r>
        <w:rPr>
          <w:rFonts w:ascii="Arial" w:hAnsi="Arial" w:cs="Arial"/>
          <w:sz w:val="24"/>
          <w:szCs w:val="24"/>
          <w:lang w:eastAsia="en-GB"/>
        </w:rPr>
        <w:t>)</w:t>
      </w:r>
    </w:p>
    <w:p w:rsidR="00B0764D" w:rsidRPr="00B0764D" w:rsidRDefault="00CB66BC" w:rsidP="00CB66BC">
      <w:pPr>
        <w:pStyle w:val="Rparagraph"/>
        <w:ind w:left="567" w:hanging="567"/>
        <w:jc w:val="both"/>
      </w:pPr>
      <w:r>
        <w:t xml:space="preserve">The FARY </w:t>
      </w:r>
      <w:r w:rsidRPr="00A31BDE">
        <w:t xml:space="preserve">and </w:t>
      </w:r>
      <w:r>
        <w:t xml:space="preserve">SIA teams </w:t>
      </w:r>
      <w:r w:rsidRPr="00A31BDE">
        <w:t xml:space="preserve">record, use and retain personal sensitive information on children, young people and families in need of help and support. This is held both as physical records such as birth certificates, and electronically on </w:t>
      </w:r>
      <w:r>
        <w:t>the LCS and Documentum</w:t>
      </w:r>
      <w:r w:rsidRPr="00A31BDE">
        <w:t>.</w:t>
      </w:r>
    </w:p>
    <w:p w:rsidR="00B0764D" w:rsidRPr="00B0764D" w:rsidRDefault="00CB66BC" w:rsidP="00CB66BC">
      <w:pPr>
        <w:pStyle w:val="Rparagraph"/>
        <w:ind w:left="567" w:hanging="567"/>
        <w:jc w:val="both"/>
      </w:pPr>
      <w:r w:rsidRPr="00A31BDE">
        <w:t>Of</w:t>
      </w:r>
      <w:r>
        <w:t xml:space="preserve"> the</w:t>
      </w:r>
      <w:r w:rsidRPr="00A31BDE">
        <w:t xml:space="preserve"> </w:t>
      </w:r>
      <w:r w:rsidRPr="00D12B00">
        <w:t>ten</w:t>
      </w:r>
      <w:r w:rsidRPr="00B0764D">
        <w:t xml:space="preserve"> </w:t>
      </w:r>
      <w:r w:rsidRPr="00A31BDE">
        <w:t xml:space="preserve">cases reported </w:t>
      </w:r>
      <w:r>
        <w:t xml:space="preserve">by the council </w:t>
      </w:r>
      <w:r w:rsidRPr="00A31BDE">
        <w:t xml:space="preserve">to the </w:t>
      </w:r>
      <w:r w:rsidRPr="00CC2BBF">
        <w:t>Information Commissioner's Office (</w:t>
      </w:r>
      <w:r w:rsidRPr="00A31BDE">
        <w:t>ICO</w:t>
      </w:r>
      <w:r>
        <w:t>)</w:t>
      </w:r>
      <w:r w:rsidRPr="00A31BDE">
        <w:t xml:space="preserve"> in 2018, two </w:t>
      </w:r>
      <w:r>
        <w:t xml:space="preserve">arose in </w:t>
      </w:r>
      <w:r w:rsidRPr="00A31BDE">
        <w:t xml:space="preserve">SIA and two </w:t>
      </w:r>
      <w:r>
        <w:t xml:space="preserve">in </w:t>
      </w:r>
      <w:r w:rsidRPr="00A31BDE">
        <w:t>FARY</w:t>
      </w:r>
      <w:r>
        <w:t>,</w:t>
      </w:r>
      <w:r w:rsidRPr="00CC2BBF">
        <w:t xml:space="preserve"> </w:t>
      </w:r>
      <w:r>
        <w:t>but n</w:t>
      </w:r>
      <w:r w:rsidRPr="00A31BDE">
        <w:t xml:space="preserve">o cases have been reported to the ICO as at June 2019. </w:t>
      </w:r>
      <w:r>
        <w:t xml:space="preserve">Internally, </w:t>
      </w:r>
      <w:r w:rsidRPr="00CC2BBF">
        <w:t>FARY reported 23 incidents in 2018 and six in the first six months of 2019</w:t>
      </w:r>
      <w:r>
        <w:t>,</w:t>
      </w:r>
      <w:r w:rsidRPr="00CC2BBF">
        <w:t xml:space="preserve"> and SIA reported 37 and 18 incidents respectively. </w:t>
      </w:r>
      <w:r w:rsidRPr="00A31BDE">
        <w:t>I</w:t>
      </w:r>
      <w:r>
        <w:t>n both services i</w:t>
      </w:r>
      <w:r w:rsidRPr="00A31BDE">
        <w:t>ncidents are properly logged, investigated and reported</w:t>
      </w:r>
      <w:r>
        <w:t xml:space="preserve">, </w:t>
      </w:r>
      <w:r w:rsidRPr="00CC2BBF">
        <w:t>including the outcome</w:t>
      </w:r>
      <w:r>
        <w:t>s</w:t>
      </w:r>
      <w:r w:rsidRPr="00CC2BBF">
        <w:t xml:space="preserve"> </w:t>
      </w:r>
      <w:r>
        <w:t xml:space="preserve">and </w:t>
      </w:r>
      <w:r w:rsidRPr="00CC2BBF">
        <w:t>action taken.</w:t>
      </w:r>
    </w:p>
    <w:p w:rsidR="00B0764D" w:rsidRDefault="00CB66BC" w:rsidP="00CB66BC">
      <w:pPr>
        <w:pStyle w:val="Rparagraph"/>
        <w:ind w:left="567" w:hanging="567"/>
        <w:jc w:val="both"/>
      </w:pPr>
      <w:r w:rsidRPr="00CC2BBF">
        <w:t xml:space="preserve">The services' managers </w:t>
      </w:r>
      <w:r>
        <w:t xml:space="preserve">have played a </w:t>
      </w:r>
      <w:r w:rsidRPr="00CC2BBF">
        <w:t xml:space="preserve">positive role in reducing incidents arising from human error, </w:t>
      </w:r>
      <w:r>
        <w:t xml:space="preserve">which was </w:t>
      </w:r>
      <w:r w:rsidRPr="00CC2BBF">
        <w:t xml:space="preserve">previously the most common cause of breaches. </w:t>
      </w:r>
      <w:r>
        <w:t xml:space="preserve">Both </w:t>
      </w:r>
      <w:r w:rsidRPr="00A31BDE">
        <w:t xml:space="preserve">FARY and SIA </w:t>
      </w:r>
      <w:r>
        <w:t xml:space="preserve">have </w:t>
      </w:r>
      <w:r w:rsidRPr="00CC2BBF">
        <w:t xml:space="preserve">introduced additional controls to reduce the risk of error, such as checks of postal and email addresses </w:t>
      </w:r>
      <w:r>
        <w:t xml:space="preserve">by a </w:t>
      </w:r>
      <w:r w:rsidRPr="00CC2BBF">
        <w:t xml:space="preserve">second officer. </w:t>
      </w:r>
    </w:p>
    <w:p w:rsidR="005622F3" w:rsidRPr="00B0764D" w:rsidRDefault="005622F3" w:rsidP="005622F3">
      <w:pPr>
        <w:pStyle w:val="Rparagraph"/>
        <w:numPr>
          <w:ilvl w:val="0"/>
          <w:numId w:val="0"/>
        </w:numPr>
        <w:ind w:left="567"/>
        <w:jc w:val="both"/>
      </w:pPr>
    </w:p>
    <w:p w:rsidR="00B0764D" w:rsidRPr="00B0764D" w:rsidRDefault="00CB66BC" w:rsidP="00CB66BC">
      <w:pPr>
        <w:pStyle w:val="Rparagraph"/>
        <w:ind w:left="567" w:hanging="567"/>
        <w:jc w:val="both"/>
      </w:pPr>
      <w:r w:rsidRPr="00A31BDE">
        <w:t xml:space="preserve">FARY and SIA </w:t>
      </w:r>
      <w:r>
        <w:t xml:space="preserve">information governance </w:t>
      </w:r>
      <w:r w:rsidRPr="00A31BDE">
        <w:t>champions and service managers actively communicate key messages and promote information security.</w:t>
      </w:r>
      <w:r>
        <w:t xml:space="preserve"> </w:t>
      </w:r>
      <w:r w:rsidRPr="0066379B">
        <w:t xml:space="preserve">The two services' champions carry out their roles slightly differently but good practice could usefully be shared. For example the champion </w:t>
      </w:r>
      <w:r>
        <w:t xml:space="preserve">in </w:t>
      </w:r>
      <w:r w:rsidRPr="0066379B">
        <w:t>FARY conducts site visits to assess compliance with policy on issues such as clear desks, use of emails and confidential waste</w:t>
      </w:r>
      <w:r>
        <w:t>, and a</w:t>
      </w:r>
      <w:r w:rsidRPr="0066379B">
        <w:t xml:space="preserve"> similar approach could be more widely adopted.</w:t>
      </w:r>
    </w:p>
    <w:p w:rsidR="00B0764D" w:rsidRPr="00B0764D" w:rsidRDefault="00CB66BC" w:rsidP="00CB66BC">
      <w:pPr>
        <w:pStyle w:val="Rparagraph"/>
        <w:ind w:left="567" w:hanging="567"/>
        <w:jc w:val="both"/>
      </w:pPr>
      <w:r w:rsidRPr="00A31BDE">
        <w:t>LCS gives officers access to all service user records except where specific restrictions are</w:t>
      </w:r>
      <w:r>
        <w:t xml:space="preserve"> in place</w:t>
      </w:r>
      <w:r w:rsidRPr="00A31BDE">
        <w:t>. We reviewed</w:t>
      </w:r>
      <w:r>
        <w:t xml:space="preserve"> </w:t>
      </w:r>
      <w:r w:rsidRPr="00A31BDE">
        <w:t>a small sample of cases and confirmed that access</w:t>
      </w:r>
      <w:r>
        <w:t xml:space="preserve"> to them appears</w:t>
      </w:r>
      <w:r w:rsidRPr="00A31BDE">
        <w:t xml:space="preserve"> legitimate</w:t>
      </w:r>
      <w:r>
        <w:t xml:space="preserve"> and</w:t>
      </w:r>
      <w:r w:rsidRPr="00A31BDE">
        <w:t xml:space="preserve"> reasonable</w:t>
      </w:r>
      <w:r>
        <w:t>.</w:t>
      </w:r>
    </w:p>
    <w:p w:rsidR="00B0764D" w:rsidRPr="00B0764D" w:rsidRDefault="00CB66BC" w:rsidP="00CB66BC">
      <w:pPr>
        <w:tabs>
          <w:tab w:val="num" w:pos="567"/>
          <w:tab w:val="right" w:pos="9072"/>
        </w:tabs>
        <w:spacing w:before="120" w:after="120" w:line="240" w:lineRule="auto"/>
        <w:ind w:left="567"/>
        <w:jc w:val="both"/>
        <w:rPr>
          <w:rFonts w:ascii="Arial" w:hAnsi="Arial" w:cs="Arial"/>
          <w:b/>
          <w:sz w:val="24"/>
          <w:szCs w:val="24"/>
          <w:lang w:eastAsia="en-GB"/>
        </w:rPr>
      </w:pPr>
      <w:r w:rsidRPr="00B0764D">
        <w:rPr>
          <w:rFonts w:ascii="Arial" w:hAnsi="Arial" w:cs="Arial"/>
          <w:b/>
          <w:sz w:val="24"/>
          <w:szCs w:val="24"/>
          <w:lang w:eastAsia="en-GB"/>
        </w:rPr>
        <w:t>Continuing healthcare funding</w:t>
      </w:r>
      <w:r w:rsidRPr="00B0764D">
        <w:rPr>
          <w:rFonts w:ascii="Arial" w:hAnsi="Arial" w:cs="Arial"/>
          <w:sz w:val="24"/>
          <w:szCs w:val="24"/>
          <w:lang w:eastAsia="en-GB"/>
        </w:rPr>
        <w:tab/>
        <w:t>(Moderate assurance)</w:t>
      </w:r>
    </w:p>
    <w:p w:rsidR="00B0764D" w:rsidRPr="00B0764D" w:rsidRDefault="00CB66BC" w:rsidP="00CB66BC">
      <w:pPr>
        <w:pStyle w:val="Rparagraph"/>
        <w:ind w:left="567" w:hanging="567"/>
        <w:jc w:val="both"/>
      </w:pPr>
      <w:r w:rsidRPr="0028701A">
        <w:t xml:space="preserve">The council is the corporate parent to </w:t>
      </w:r>
      <w:r>
        <w:t xml:space="preserve">the approximately 2,000 </w:t>
      </w:r>
      <w:r w:rsidRPr="0028701A">
        <w:t xml:space="preserve">children in its care. It has collective responsibility with </w:t>
      </w:r>
      <w:r>
        <w:t xml:space="preserve">its </w:t>
      </w:r>
      <w:r w:rsidRPr="0028701A">
        <w:t xml:space="preserve">partner agencies, including those in health and education, to work together to assess and address </w:t>
      </w:r>
      <w:r>
        <w:t>each</w:t>
      </w:r>
      <w:r w:rsidRPr="0028701A">
        <w:t xml:space="preserve"> child's needs</w:t>
      </w:r>
      <w:r>
        <w:t xml:space="preserve"> and </w:t>
      </w:r>
      <w:r w:rsidRPr="0028701A">
        <w:t>to provide them with the best care and protection. Where these needs cannot be met by universal services</w:t>
      </w:r>
      <w:r>
        <w:t xml:space="preserve"> such as </w:t>
      </w:r>
      <w:r w:rsidRPr="004271A1">
        <w:t>health, education and other community services</w:t>
      </w:r>
      <w:r>
        <w:t xml:space="preserve"> available to all without specialist assessment or resources</w:t>
      </w:r>
      <w:r w:rsidRPr="0028701A">
        <w:t xml:space="preserve">, agreement should be reached over how services will be delivered and any financial costs shared </w:t>
      </w:r>
      <w:r>
        <w:t>between the</w:t>
      </w:r>
      <w:r w:rsidRPr="0028701A">
        <w:t xml:space="preserve"> partners.</w:t>
      </w:r>
    </w:p>
    <w:p w:rsidR="00B0764D" w:rsidRPr="00B0764D" w:rsidRDefault="00CB66BC" w:rsidP="00CB66BC">
      <w:pPr>
        <w:pStyle w:val="Rparagraph"/>
        <w:ind w:left="567" w:hanging="567"/>
        <w:jc w:val="both"/>
      </w:pPr>
      <w:r w:rsidRPr="0028701A">
        <w:t xml:space="preserve">Multi-agency care planning responsibilities were agreed in January 2019 </w:t>
      </w:r>
      <w:r>
        <w:t xml:space="preserve">and the multi-agency care planning protocol has recently </w:t>
      </w:r>
      <w:r w:rsidRPr="0028701A">
        <w:t>be</w:t>
      </w:r>
      <w:r>
        <w:t>en</w:t>
      </w:r>
      <w:r w:rsidRPr="0028701A">
        <w:t xml:space="preserve"> </w:t>
      </w:r>
      <w:r>
        <w:t>published, but it had not reached that stage at the time of our audit work. We therefore audited only the adequacy of the controls framework being developed and not its effectiveness in practice. The protocol</w:t>
      </w:r>
      <w:r w:rsidRPr="0028701A">
        <w:t xml:space="preserve"> combines </w:t>
      </w:r>
      <w:r>
        <w:t xml:space="preserve">the council's </w:t>
      </w:r>
      <w:r w:rsidRPr="0028701A">
        <w:t>care planning protocols and scheme of delegation with statutory regulations</w:t>
      </w:r>
      <w:r>
        <w:t xml:space="preserve"> and </w:t>
      </w:r>
      <w:r w:rsidRPr="0028701A">
        <w:t>imposes a framework across locality teams t</w:t>
      </w:r>
      <w:r>
        <w:t>hat</w:t>
      </w:r>
      <w:r w:rsidRPr="0028701A">
        <w:t xml:space="preserve"> promote</w:t>
      </w:r>
      <w:r>
        <w:t>s</w:t>
      </w:r>
      <w:r w:rsidRPr="0028701A">
        <w:t xml:space="preserve"> a consistent approach to multi-agency decisions</w:t>
      </w:r>
      <w:r>
        <w:t xml:space="preserve">, </w:t>
      </w:r>
      <w:r w:rsidRPr="0028701A">
        <w:t xml:space="preserve">supports agreement on financial contributions for </w:t>
      </w:r>
      <w:r>
        <w:t xml:space="preserve">the </w:t>
      </w:r>
      <w:r w:rsidRPr="0028701A">
        <w:t xml:space="preserve">provision </w:t>
      </w:r>
      <w:r>
        <w:t xml:space="preserve">of </w:t>
      </w:r>
      <w:r w:rsidRPr="0028701A">
        <w:t>non-universal services</w:t>
      </w:r>
      <w:r>
        <w:t xml:space="preserve"> and sets </w:t>
      </w:r>
      <w:r w:rsidRPr="0028701A">
        <w:t xml:space="preserve">expectations </w:t>
      </w:r>
      <w:r>
        <w:t xml:space="preserve">about the timing of </w:t>
      </w:r>
      <w:r w:rsidRPr="0028701A">
        <w:t>care planning and the frequency of decision making</w:t>
      </w:r>
    </w:p>
    <w:p w:rsidR="00B0764D" w:rsidRPr="00B0764D" w:rsidRDefault="00CB66BC" w:rsidP="00CB66BC">
      <w:pPr>
        <w:pStyle w:val="Rparagraph"/>
        <w:ind w:left="567" w:hanging="567"/>
        <w:jc w:val="both"/>
      </w:pPr>
      <w:r w:rsidRPr="0028701A">
        <w:t>Action is also being progressed under Children's Services</w:t>
      </w:r>
      <w:r>
        <w:t>'</w:t>
      </w:r>
      <w:r w:rsidRPr="0028701A">
        <w:t xml:space="preserve"> Getting to Good Plan, </w:t>
      </w:r>
      <w:r>
        <w:t xml:space="preserve">which is </w:t>
      </w:r>
      <w:r w:rsidRPr="0028701A">
        <w:t>designed to strengthen existing multi-agency strategic partnerships and w</w:t>
      </w:r>
      <w:r>
        <w:t>ill be delivered through 2019.</w:t>
      </w:r>
    </w:p>
    <w:p w:rsidR="00D767A1" w:rsidRPr="00D767A1" w:rsidRDefault="00CB66BC" w:rsidP="00CB66BC">
      <w:pPr>
        <w:tabs>
          <w:tab w:val="num" w:pos="567"/>
          <w:tab w:val="right" w:pos="9072"/>
        </w:tabs>
        <w:spacing w:before="120" w:after="120" w:line="240" w:lineRule="auto"/>
        <w:ind w:left="567"/>
        <w:jc w:val="both"/>
        <w:rPr>
          <w:rFonts w:ascii="Arial" w:hAnsi="Arial" w:cs="Arial"/>
          <w:b/>
          <w:sz w:val="24"/>
          <w:szCs w:val="24"/>
          <w:lang w:eastAsia="en-GB"/>
        </w:rPr>
      </w:pPr>
      <w:r w:rsidRPr="00D767A1">
        <w:rPr>
          <w:rFonts w:ascii="Arial" w:hAnsi="Arial" w:cs="Arial"/>
          <w:b/>
          <w:sz w:val="24"/>
          <w:szCs w:val="24"/>
          <w:lang w:eastAsia="en-GB"/>
        </w:rPr>
        <w:t>Prevention of Child Exploitation</w:t>
      </w:r>
      <w:r w:rsidRPr="00D767A1">
        <w:rPr>
          <w:rFonts w:ascii="Arial" w:hAnsi="Arial" w:cs="Arial"/>
          <w:sz w:val="24"/>
          <w:szCs w:val="24"/>
          <w:lang w:eastAsia="en-GB"/>
        </w:rPr>
        <w:tab/>
        <w:t>(Limited assurance)</w:t>
      </w:r>
    </w:p>
    <w:p w:rsidR="00D767A1" w:rsidRPr="00D767A1" w:rsidRDefault="00CB66BC" w:rsidP="00CB66BC">
      <w:pPr>
        <w:pStyle w:val="Rparagraph"/>
        <w:ind w:left="567" w:hanging="567"/>
        <w:jc w:val="both"/>
      </w:pPr>
      <w:r w:rsidRPr="00593431">
        <w:t>Ch</w:t>
      </w:r>
      <w:r>
        <w:t xml:space="preserve">ild exploitation is </w:t>
      </w:r>
      <w:r w:rsidRPr="00593431">
        <w:t xml:space="preserve">the act of using a minor child for profit, labour, sexual gratification, or some other personal or financial advantage. Child exploitation often results in cruel or harmful treatment of the child, as the activities he or she may be forced to take part in can cause </w:t>
      </w:r>
      <w:r>
        <w:t xml:space="preserve">significant </w:t>
      </w:r>
      <w:r w:rsidRPr="00593431">
        <w:t xml:space="preserve">emotional, physical, and social problems. </w:t>
      </w:r>
      <w:r>
        <w:t>Exploitation may s</w:t>
      </w:r>
      <w:r w:rsidRPr="00593431">
        <w:t>pecific</w:t>
      </w:r>
      <w:r>
        <w:t xml:space="preserve">ally be categorised as sexual, </w:t>
      </w:r>
      <w:r w:rsidRPr="00E1200A">
        <w:t>criminal, or modern slavery</w:t>
      </w:r>
      <w:r>
        <w:t xml:space="preserve"> and in </w:t>
      </w:r>
      <w:r w:rsidRPr="00E1200A">
        <w:t xml:space="preserve">March 2019 the council was </w:t>
      </w:r>
      <w:r>
        <w:t xml:space="preserve">addressing </w:t>
      </w:r>
      <w:r w:rsidRPr="00E1200A">
        <w:t xml:space="preserve">152 </w:t>
      </w:r>
      <w:r>
        <w:t>child exploitation cases.</w:t>
      </w:r>
    </w:p>
    <w:p w:rsidR="00CC6E16" w:rsidRDefault="00CB66BC" w:rsidP="00CB66BC">
      <w:pPr>
        <w:pStyle w:val="Rparagraph"/>
        <w:ind w:left="567" w:hanging="567"/>
        <w:jc w:val="both"/>
      </w:pPr>
      <w:r w:rsidRPr="00E1200A">
        <w:t xml:space="preserve">A multi-agency approach to safeguarding and protecting children from exploitation is currently taken through the three safeguarding children's boards for the county council and two unitary councils. These include representatives from the police, NHS, district councils, the third sector (voluntary, charitable and faith organisations) and schools. </w:t>
      </w:r>
    </w:p>
    <w:p w:rsidR="00D767A1" w:rsidRPr="00D767A1" w:rsidRDefault="00CB66BC" w:rsidP="00CC6E16">
      <w:pPr>
        <w:pStyle w:val="Rparagraph"/>
        <w:numPr>
          <w:ilvl w:val="0"/>
          <w:numId w:val="0"/>
        </w:numPr>
        <w:ind w:left="567"/>
        <w:jc w:val="both"/>
      </w:pPr>
      <w:r>
        <w:t>I</w:t>
      </w:r>
      <w:r w:rsidRPr="00E1200A">
        <w:t xml:space="preserve">n September 2019 </w:t>
      </w:r>
      <w:r>
        <w:t>t</w:t>
      </w:r>
      <w:r w:rsidRPr="00E1200A">
        <w:t xml:space="preserve">he boards will be replaced by a single safeguarding children partnership </w:t>
      </w:r>
      <w:r>
        <w:t>which will be led by the county and unitary</w:t>
      </w:r>
      <w:r w:rsidRPr="00E1200A">
        <w:t xml:space="preserve"> councils, </w:t>
      </w:r>
      <w:r>
        <w:t xml:space="preserve">with the </w:t>
      </w:r>
      <w:r w:rsidRPr="00E1200A">
        <w:t>police and NHS clinical commissioning groups</w:t>
      </w:r>
      <w:r>
        <w:t xml:space="preserve"> as statutory partners</w:t>
      </w:r>
      <w:r w:rsidRPr="00E1200A">
        <w:t>.</w:t>
      </w:r>
    </w:p>
    <w:p w:rsidR="00D767A1" w:rsidRPr="00D767A1" w:rsidRDefault="00CB66BC" w:rsidP="00CB66BC">
      <w:pPr>
        <w:pStyle w:val="Rparagraph"/>
        <w:ind w:left="567" w:hanging="567"/>
        <w:jc w:val="both"/>
      </w:pPr>
      <w:r w:rsidRPr="00E1200A">
        <w:t>The three safeguarding children's boards have jointly developed a pan-Lancashire child sexual exploitation multi-agency strategy and operating protocol, setting out procedures for professional practice. The protocol is overseen by a strategic group supported by operational groups in the three safeguarding board areas.</w:t>
      </w:r>
    </w:p>
    <w:p w:rsidR="00D767A1" w:rsidRPr="00D767A1" w:rsidRDefault="00CB66BC" w:rsidP="00CB66BC">
      <w:pPr>
        <w:pStyle w:val="Rparagraph"/>
        <w:ind w:left="567" w:hanging="567"/>
        <w:jc w:val="both"/>
      </w:pPr>
      <w:r w:rsidRPr="00C0723A">
        <w:lastRenderedPageBreak/>
        <w:t>However not all partners are fully engaged</w:t>
      </w:r>
      <w:r w:rsidRPr="00E1200A">
        <w:t xml:space="preserve"> and attending meetings, and there is no coordinated approach to ensure that risks to children across the county are identified and managed.</w:t>
      </w:r>
      <w:r>
        <w:t xml:space="preserve"> </w:t>
      </w:r>
    </w:p>
    <w:p w:rsidR="00D767A1" w:rsidRPr="00D767A1" w:rsidRDefault="00CB66BC" w:rsidP="00CB66BC">
      <w:pPr>
        <w:pStyle w:val="Rparagraph"/>
        <w:ind w:left="567" w:hanging="567"/>
        <w:jc w:val="both"/>
      </w:pPr>
      <w:r w:rsidRPr="00E1200A">
        <w:t>The current pan-Lancashire child sexual exploitation multi-agency Strategy and Statement of Practice do not drive practice in the council as might be expected, largely due to perceived shortcomings in the current approach. There is a lack of consensus amongst board members as to the scope of their work and inconsistency of interpretation by the partners.</w:t>
      </w:r>
    </w:p>
    <w:p w:rsidR="00D767A1" w:rsidRPr="00D767A1" w:rsidRDefault="00CB66BC" w:rsidP="00CB66BC">
      <w:pPr>
        <w:pStyle w:val="Rparagraph"/>
        <w:ind w:left="567" w:hanging="567"/>
        <w:jc w:val="both"/>
      </w:pPr>
      <w:r w:rsidRPr="00E1200A">
        <w:t xml:space="preserve">In June 2018 the county council replaced its locality-based model for managing child exploitation casework with a centralised hub and teams covering the three operational areas of the county. This centralised hub management structure is not yet operating effectively and </w:t>
      </w:r>
      <w:r>
        <w:t xml:space="preserve">its performance is a specific concern. </w:t>
      </w:r>
      <w:r w:rsidRPr="00E1200A">
        <w:t>While we saw evidence that cases were being assessed and progressed, there is minimal management oversight of performance, inconsistent case working practice, limited performance information, and completion of key tasks is routinely late. Senior management also accept that the centralised structure has not demonstrated its effectiveness, with concerns over the loss of local area knowledge</w:t>
      </w:r>
    </w:p>
    <w:p w:rsidR="00D767A1" w:rsidRPr="00D65FDB" w:rsidRDefault="00CB66BC" w:rsidP="00CB66BC">
      <w:pPr>
        <w:pStyle w:val="Rparagraph"/>
        <w:ind w:left="567" w:hanging="567"/>
        <w:jc w:val="both"/>
        <w:rPr>
          <w:b/>
        </w:rPr>
      </w:pPr>
      <w:r w:rsidRPr="00E1200A">
        <w:t xml:space="preserve">The acting </w:t>
      </w:r>
      <w:r>
        <w:t>d</w:t>
      </w:r>
      <w:r w:rsidRPr="00E1200A">
        <w:t xml:space="preserve">irector of </w:t>
      </w:r>
      <w:r>
        <w:t>c</w:t>
      </w:r>
      <w:r w:rsidRPr="00E1200A">
        <w:t xml:space="preserve">hildren's </w:t>
      </w:r>
      <w:r>
        <w:t>social care</w:t>
      </w:r>
      <w:r w:rsidRPr="00E1200A">
        <w:t xml:space="preserve"> has asked the acting </w:t>
      </w:r>
      <w:r>
        <w:t>h</w:t>
      </w:r>
      <w:r w:rsidRPr="00C0723A">
        <w:t xml:space="preserve">ead of </w:t>
      </w:r>
      <w:r>
        <w:t>c</w:t>
      </w:r>
      <w:r w:rsidRPr="00C0723A">
        <w:t xml:space="preserve">entral </w:t>
      </w:r>
      <w:r>
        <w:t>c</w:t>
      </w:r>
      <w:r w:rsidRPr="00C0723A">
        <w:t xml:space="preserve">hildren's </w:t>
      </w:r>
      <w:r>
        <w:t>s</w:t>
      </w:r>
      <w:r w:rsidRPr="00C0723A">
        <w:t xml:space="preserve">ocial </w:t>
      </w:r>
      <w:r>
        <w:t>c</w:t>
      </w:r>
      <w:r w:rsidRPr="00C0723A">
        <w:t>are</w:t>
      </w:r>
      <w:r w:rsidRPr="00E1200A">
        <w:t xml:space="preserve"> to review the current arrangements and develop</w:t>
      </w:r>
      <w:r w:rsidRPr="00D65FDB">
        <w:t xml:space="preserve"> options for the future, and </w:t>
      </w:r>
      <w:r>
        <w:t xml:space="preserve">in July 2019 </w:t>
      </w:r>
      <w:r w:rsidRPr="00D65FDB">
        <w:t xml:space="preserve">this review is </w:t>
      </w:r>
      <w:r>
        <w:t xml:space="preserve">still </w:t>
      </w:r>
      <w:r w:rsidRPr="00D65FDB">
        <w:t>progressing.</w:t>
      </w:r>
    </w:p>
    <w:p w:rsidR="001470DA" w:rsidRPr="001470DA" w:rsidRDefault="00CB66BC" w:rsidP="00CB66BC">
      <w:pPr>
        <w:tabs>
          <w:tab w:val="num" w:pos="567"/>
          <w:tab w:val="right" w:pos="9072"/>
        </w:tabs>
        <w:spacing w:before="120" w:after="120" w:line="240" w:lineRule="auto"/>
        <w:ind w:left="567"/>
        <w:jc w:val="both"/>
        <w:rPr>
          <w:rFonts w:ascii="Arial" w:hAnsi="Arial" w:cs="Arial"/>
          <w:b/>
          <w:sz w:val="24"/>
          <w:szCs w:val="24"/>
          <w:lang w:eastAsia="en-GB"/>
        </w:rPr>
      </w:pPr>
      <w:r w:rsidRPr="001470DA">
        <w:rPr>
          <w:rFonts w:ascii="Arial" w:hAnsi="Arial" w:cs="Arial"/>
          <w:b/>
          <w:sz w:val="24"/>
          <w:szCs w:val="24"/>
          <w:lang w:eastAsia="en-GB"/>
        </w:rPr>
        <w:t>Children's Services</w:t>
      </w:r>
      <w:r>
        <w:rPr>
          <w:rFonts w:ascii="Arial" w:hAnsi="Arial" w:cs="Arial"/>
          <w:b/>
          <w:sz w:val="24"/>
          <w:szCs w:val="24"/>
          <w:lang w:eastAsia="en-GB"/>
        </w:rPr>
        <w:t>'</w:t>
      </w:r>
      <w:r w:rsidRPr="001470DA">
        <w:rPr>
          <w:rFonts w:ascii="Arial" w:hAnsi="Arial" w:cs="Arial"/>
          <w:b/>
          <w:sz w:val="24"/>
          <w:szCs w:val="24"/>
          <w:lang w:eastAsia="en-GB"/>
        </w:rPr>
        <w:t xml:space="preserve"> </w:t>
      </w:r>
      <w:r>
        <w:rPr>
          <w:rFonts w:ascii="Arial" w:hAnsi="Arial" w:cs="Arial"/>
          <w:b/>
          <w:sz w:val="24"/>
          <w:szCs w:val="24"/>
          <w:lang w:eastAsia="en-GB"/>
        </w:rPr>
        <w:t>improvement</w:t>
      </w:r>
      <w:r w:rsidRPr="001470DA">
        <w:rPr>
          <w:rFonts w:ascii="Arial" w:hAnsi="Arial" w:cs="Arial"/>
          <w:b/>
          <w:sz w:val="24"/>
          <w:szCs w:val="24"/>
          <w:lang w:eastAsia="en-GB"/>
        </w:rPr>
        <w:t xml:space="preserve"> </w:t>
      </w:r>
      <w:r>
        <w:rPr>
          <w:rFonts w:ascii="Arial" w:hAnsi="Arial" w:cs="Arial"/>
          <w:b/>
          <w:sz w:val="24"/>
          <w:szCs w:val="24"/>
          <w:lang w:eastAsia="en-GB"/>
        </w:rPr>
        <w:t>p</w:t>
      </w:r>
      <w:r w:rsidRPr="001470DA">
        <w:rPr>
          <w:rFonts w:ascii="Arial" w:hAnsi="Arial" w:cs="Arial"/>
          <w:b/>
          <w:sz w:val="24"/>
          <w:szCs w:val="24"/>
          <w:lang w:eastAsia="en-GB"/>
        </w:rPr>
        <w:t>lan</w:t>
      </w:r>
      <w:r w:rsidRPr="001470DA">
        <w:rPr>
          <w:rFonts w:ascii="Arial" w:hAnsi="Arial" w:cs="Arial"/>
          <w:sz w:val="24"/>
          <w:szCs w:val="24"/>
          <w:lang w:eastAsia="en-GB"/>
        </w:rPr>
        <w:tab/>
        <w:t>(Substantial assurance)</w:t>
      </w:r>
    </w:p>
    <w:p w:rsidR="001470DA" w:rsidRPr="001470DA" w:rsidRDefault="00CB66BC" w:rsidP="00CB66BC">
      <w:pPr>
        <w:pStyle w:val="Rparagraph"/>
        <w:ind w:left="567" w:hanging="567"/>
        <w:jc w:val="both"/>
      </w:pPr>
      <w:r w:rsidRPr="00D569AA">
        <w:t xml:space="preserve">In June 2018 Ofsted re-inspected the council's services for children in need of help and protection, children looked after and care leavers, which had been judged </w:t>
      </w:r>
      <w:r>
        <w:t xml:space="preserve">inadequate </w:t>
      </w:r>
      <w:r w:rsidRPr="00D569AA">
        <w:t xml:space="preserve">in the autumn of 2015. It reported significant improvements </w:t>
      </w:r>
      <w:r>
        <w:t xml:space="preserve">and </w:t>
      </w:r>
      <w:r w:rsidRPr="00D569AA">
        <w:t>its judgement in all three areas moved to 'requires improvement'. The inspection</w:t>
      </w:r>
      <w:r>
        <w:t>s</w:t>
      </w:r>
      <w:r w:rsidRPr="00D569AA">
        <w:t xml:space="preserve"> also included adoption and fostering, and </w:t>
      </w:r>
      <w:r>
        <w:t xml:space="preserve">in 2018 </w:t>
      </w:r>
      <w:r w:rsidRPr="00D569AA">
        <w:t xml:space="preserve">the adoption service was </w:t>
      </w:r>
      <w:r>
        <w:t xml:space="preserve">considered </w:t>
      </w:r>
      <w:r w:rsidRPr="00D569AA">
        <w:t>to be 'good'.</w:t>
      </w:r>
    </w:p>
    <w:p w:rsidR="001470DA" w:rsidRPr="001470DA" w:rsidRDefault="00CB66BC" w:rsidP="00CB66BC">
      <w:pPr>
        <w:pStyle w:val="Rparagraph"/>
        <w:ind w:left="567" w:hanging="567"/>
        <w:jc w:val="both"/>
      </w:pPr>
      <w:r w:rsidRPr="00A931F4">
        <w:t>Children's S</w:t>
      </w:r>
      <w:r>
        <w:t xml:space="preserve">ocial Care's </w:t>
      </w:r>
      <w:r w:rsidRPr="00A931F4">
        <w:t>G</w:t>
      </w:r>
      <w:r>
        <w:t xml:space="preserve">etting to Good </w:t>
      </w:r>
      <w:r w:rsidRPr="00A931F4">
        <w:t xml:space="preserve">Plan focuses on the actions required to deliver Ofsted's recommendations and other key priorities identified in the directorate's self-assessment to </w:t>
      </w:r>
      <w:r>
        <w:t>ensure</w:t>
      </w:r>
      <w:r w:rsidRPr="00A931F4">
        <w:t xml:space="preserve"> the delivery of consistently good services.</w:t>
      </w:r>
      <w:r>
        <w:t xml:space="preserve"> It </w:t>
      </w:r>
      <w:r w:rsidRPr="00A931F4">
        <w:t>was published in January 2019 and across six key areas</w:t>
      </w:r>
      <w:r w:rsidRPr="00F671BF">
        <w:t xml:space="preserve"> </w:t>
      </w:r>
      <w:r w:rsidRPr="00A931F4">
        <w:t xml:space="preserve">sets out </w:t>
      </w:r>
      <w:r>
        <w:t>the</w:t>
      </w:r>
      <w:r w:rsidRPr="00A931F4">
        <w:t xml:space="preserve"> expected outcomes, improvement measures, lead officers, targets and due dates. The plan sits alongside a number of strategies and plans to deliver improvement for children including the Purposeful Practice Framework</w:t>
      </w:r>
      <w:r>
        <w:t>,</w:t>
      </w:r>
      <w:r w:rsidRPr="00A931F4">
        <w:t xml:space="preserve"> Corporate Parenting Strategy</w:t>
      </w:r>
      <w:r>
        <w:t xml:space="preserve"> and m</w:t>
      </w:r>
      <w:r w:rsidRPr="00A931F4">
        <w:t xml:space="preserve">ore detailed action plans </w:t>
      </w:r>
      <w:r>
        <w:t xml:space="preserve">addressing </w:t>
      </w:r>
      <w:r w:rsidRPr="00A931F4">
        <w:t>specific service improvement</w:t>
      </w:r>
      <w:r>
        <w:t>s</w:t>
      </w:r>
      <w:r w:rsidRPr="00A931F4">
        <w:t>.</w:t>
      </w:r>
    </w:p>
    <w:p w:rsidR="001470DA" w:rsidRPr="001470DA" w:rsidRDefault="00CB66BC" w:rsidP="00CB66BC">
      <w:pPr>
        <w:pStyle w:val="Rparagraph"/>
        <w:ind w:left="567" w:hanging="567"/>
        <w:jc w:val="both"/>
      </w:pPr>
      <w:r>
        <w:t>I</w:t>
      </w:r>
      <w:r w:rsidRPr="00A931F4">
        <w:t xml:space="preserve">mplementation </w:t>
      </w:r>
      <w:r>
        <w:t>of the p</w:t>
      </w:r>
      <w:r w:rsidRPr="00A931F4">
        <w:t xml:space="preserve">lan is the responsibility of the </w:t>
      </w:r>
      <w:r>
        <w:t xml:space="preserve">Getting to Good </w:t>
      </w:r>
      <w:r w:rsidRPr="00A931F4">
        <w:t xml:space="preserve">Board, chaired by the </w:t>
      </w:r>
      <w:r>
        <w:t>e</w:t>
      </w:r>
      <w:r w:rsidRPr="00A931F4">
        <w:t xml:space="preserve">xecutive </w:t>
      </w:r>
      <w:r>
        <w:t>d</w:t>
      </w:r>
      <w:r w:rsidRPr="00A931F4">
        <w:t xml:space="preserve">irector of </w:t>
      </w:r>
      <w:r>
        <w:t>e</w:t>
      </w:r>
      <w:r w:rsidRPr="00A931F4">
        <w:t xml:space="preserve">ducation and </w:t>
      </w:r>
      <w:r>
        <w:t>c</w:t>
      </w:r>
      <w:r w:rsidRPr="00A931F4">
        <w:t xml:space="preserve">hildren's </w:t>
      </w:r>
      <w:r>
        <w:t>s</w:t>
      </w:r>
      <w:r w:rsidRPr="00A931F4">
        <w:t xml:space="preserve">ervices. Delivery of actions in the six priority areas is managed through five delivery boards, led by heads of service or the </w:t>
      </w:r>
      <w:r>
        <w:t>d</w:t>
      </w:r>
      <w:r w:rsidRPr="00A931F4">
        <w:t>irector</w:t>
      </w:r>
      <w:r>
        <w:t>,</w:t>
      </w:r>
      <w:r w:rsidRPr="00F671BF">
        <w:t xml:space="preserve"> </w:t>
      </w:r>
      <w:r w:rsidRPr="00A931F4">
        <w:t>and the Children's Partnership</w:t>
      </w:r>
      <w:r>
        <w:t>.</w:t>
      </w:r>
    </w:p>
    <w:p w:rsidR="001470DA" w:rsidRDefault="00CB66BC" w:rsidP="00D43B43">
      <w:pPr>
        <w:pStyle w:val="Rparagraph"/>
        <w:numPr>
          <w:ilvl w:val="0"/>
          <w:numId w:val="0"/>
        </w:numPr>
        <w:ind w:left="567"/>
        <w:jc w:val="both"/>
      </w:pPr>
      <w:r w:rsidRPr="00A931F4">
        <w:t xml:space="preserve">Progress is actively monitored and all but seven of the 131 actions have been delivered or are due to be delivered within the agreed timescale. The management of risk is still at </w:t>
      </w:r>
      <w:r>
        <w:t>an</w:t>
      </w:r>
      <w:r w:rsidRPr="00A931F4">
        <w:t xml:space="preserve"> early </w:t>
      </w:r>
      <w:r>
        <w:t>stage,</w:t>
      </w:r>
      <w:r w:rsidRPr="00A931F4">
        <w:t xml:space="preserve"> and risk registers are not yet in place for all </w:t>
      </w:r>
      <w:r>
        <w:t>d</w:t>
      </w:r>
      <w:r w:rsidRPr="00A931F4">
        <w:t xml:space="preserve">elivery </w:t>
      </w:r>
      <w:r>
        <w:t>b</w:t>
      </w:r>
      <w:r w:rsidRPr="00A931F4">
        <w:t>oar</w:t>
      </w:r>
      <w:r w:rsidR="005622F3">
        <w:t xml:space="preserve">ds. </w:t>
      </w:r>
      <w:r w:rsidRPr="00A931F4">
        <w:t xml:space="preserve">A planned self-assessment of progress </w:t>
      </w:r>
      <w:r>
        <w:t xml:space="preserve">has been delayed and </w:t>
      </w:r>
      <w:r w:rsidRPr="00A931F4">
        <w:t>some structural changes are to be made, including a new operational group to monitor progress</w:t>
      </w:r>
      <w:r>
        <w:t>,</w:t>
      </w:r>
      <w:r w:rsidRPr="00A931F4">
        <w:t xml:space="preserve"> and representation </w:t>
      </w:r>
      <w:r>
        <w:t xml:space="preserve">on the board </w:t>
      </w:r>
      <w:r w:rsidRPr="00A931F4">
        <w:t xml:space="preserve">from the police, schools and </w:t>
      </w:r>
      <w:r>
        <w:t>NHS</w:t>
      </w:r>
      <w:r w:rsidRPr="00A931F4">
        <w:t>.</w:t>
      </w:r>
    </w:p>
    <w:p w:rsidR="004D0D46" w:rsidRDefault="004D0D46" w:rsidP="004D0D46">
      <w:pPr>
        <w:tabs>
          <w:tab w:val="num" w:pos="567"/>
          <w:tab w:val="right" w:pos="9072"/>
        </w:tabs>
        <w:spacing w:before="120" w:after="120" w:line="240" w:lineRule="auto"/>
        <w:ind w:left="567"/>
        <w:jc w:val="both"/>
        <w:rPr>
          <w:rFonts w:ascii="Arial" w:hAnsi="Arial" w:cs="Arial"/>
          <w:sz w:val="24"/>
          <w:szCs w:val="24"/>
          <w:lang w:eastAsia="en-GB"/>
        </w:rPr>
      </w:pPr>
      <w:r w:rsidRPr="004D0D46">
        <w:rPr>
          <w:rFonts w:ascii="Arial" w:hAnsi="Arial" w:cs="Arial"/>
          <w:b/>
          <w:sz w:val="24"/>
          <w:szCs w:val="24"/>
          <w:lang w:eastAsia="en-GB"/>
        </w:rPr>
        <w:t>Exclusions from school</w:t>
      </w:r>
      <w:r w:rsidRPr="004D0D46">
        <w:rPr>
          <w:rFonts w:ascii="Arial" w:hAnsi="Arial" w:cs="Arial"/>
          <w:sz w:val="24"/>
          <w:szCs w:val="24"/>
          <w:lang w:eastAsia="en-GB"/>
        </w:rPr>
        <w:tab/>
      </w:r>
      <w:r>
        <w:rPr>
          <w:rFonts w:ascii="Arial" w:hAnsi="Arial" w:cs="Arial"/>
          <w:sz w:val="24"/>
          <w:szCs w:val="24"/>
          <w:lang w:eastAsia="en-GB"/>
        </w:rPr>
        <w:t>(</w:t>
      </w:r>
      <w:r w:rsidRPr="004D0D46">
        <w:rPr>
          <w:rFonts w:ascii="Arial" w:hAnsi="Arial" w:cs="Arial"/>
          <w:sz w:val="24"/>
          <w:szCs w:val="24"/>
          <w:lang w:eastAsia="en-GB"/>
        </w:rPr>
        <w:t>Moderate assurance</w:t>
      </w:r>
      <w:r>
        <w:rPr>
          <w:rFonts w:ascii="Arial" w:hAnsi="Arial" w:cs="Arial"/>
          <w:sz w:val="24"/>
          <w:szCs w:val="24"/>
          <w:lang w:eastAsia="en-GB"/>
        </w:rPr>
        <w:t>)</w:t>
      </w:r>
    </w:p>
    <w:p w:rsidR="004D0D46" w:rsidRPr="004D0D46" w:rsidRDefault="004D0D46" w:rsidP="004D0D46">
      <w:pPr>
        <w:pStyle w:val="Rparagraph"/>
        <w:ind w:left="567" w:hanging="567"/>
        <w:jc w:val="both"/>
      </w:pPr>
      <w:r w:rsidRPr="004D0D46">
        <w:t xml:space="preserve">Head teachers of maintained schools can decide to exclude a pupil from the school either for a fixed number of days or permanently. Exclusions must be for disciplinary reasons and be lawful, reasonable and fair. A school's governor disciplinary committee hears any initial appeals against exclusions, and an independent review panel hears any subsequent appeal. Legislation requires the council </w:t>
      </w:r>
      <w:hyperlink r:id="rId8" w:tgtFrame="_blank" w:history="1"/>
      <w:r w:rsidRPr="004D0D46">
        <w:t xml:space="preserve">to return children to school or to make alternative provision from the sixth day of exclusion.  </w:t>
      </w:r>
    </w:p>
    <w:p w:rsidR="00873FAB" w:rsidRDefault="00873FAB" w:rsidP="004D0D46">
      <w:pPr>
        <w:pStyle w:val="Rparagraph"/>
        <w:ind w:left="567" w:hanging="567"/>
        <w:jc w:val="both"/>
      </w:pPr>
      <w:r w:rsidRPr="004D0D46">
        <w:t xml:space="preserve">The council publishes procedures and </w:t>
      </w:r>
      <w:r w:rsidR="00EB279E">
        <w:t xml:space="preserve">plentiful </w:t>
      </w:r>
      <w:r w:rsidRPr="004D0D46">
        <w:t>guidance for schools and parents/ carers on exclusions and appeals, provides training for school staff and governors</w:t>
      </w:r>
      <w:r w:rsidRPr="00873FAB">
        <w:t xml:space="preserve"> </w:t>
      </w:r>
      <w:r>
        <w:t xml:space="preserve">and </w:t>
      </w:r>
      <w:r w:rsidRPr="004D0D46">
        <w:t>admini</w:t>
      </w:r>
      <w:r>
        <w:t>sters independent review panels</w:t>
      </w:r>
      <w:r w:rsidRPr="004D0D46">
        <w:t xml:space="preserve"> which support statutory compliance. </w:t>
      </w:r>
      <w:r w:rsidR="004D0D46" w:rsidRPr="004D0D46">
        <w:t xml:space="preserve">The Pupil Access Team administers the exclusion process, managing and monitoring fixed and permanent exclusions, and works </w:t>
      </w:r>
      <w:r w:rsidR="00EB279E">
        <w:t xml:space="preserve">well </w:t>
      </w:r>
      <w:r w:rsidR="004D0D46" w:rsidRPr="004D0D46">
        <w:t>with schools and other council services to ensure the pro</w:t>
      </w:r>
      <w:r>
        <w:t>cess is applied correctly.</w:t>
      </w:r>
    </w:p>
    <w:p w:rsidR="004D0D46" w:rsidRPr="004D0D46" w:rsidRDefault="004D0D46" w:rsidP="00873FAB">
      <w:pPr>
        <w:pStyle w:val="Rparagraph"/>
        <w:ind w:left="567" w:hanging="567"/>
        <w:jc w:val="both"/>
      </w:pPr>
      <w:r w:rsidRPr="004D0D46">
        <w:t>It also works to enrol excluded pupils in alternative educational provision, which the council must provide from the sixth day after exclusion (and the first day for children looked after). However in June 2019 there were delays of between seven and 41 days in enrolling 74 (41%) of the 168 students excluded due to a lack of availability of local provision and budget</w:t>
      </w:r>
      <w:r w:rsidR="00873FAB">
        <w:t>ary</w:t>
      </w:r>
      <w:r w:rsidRPr="004D0D46">
        <w:t xml:space="preserve"> constraints. The council provides daily one-to-one provision for a small number of these children, but for most there is no regular contact from council officers to ensure their wellbeing until alternative provision is found.</w:t>
      </w:r>
    </w:p>
    <w:p w:rsidR="004D0D46" w:rsidRPr="004D0D46" w:rsidRDefault="004D0D46" w:rsidP="004D0D46">
      <w:pPr>
        <w:pStyle w:val="Rparagraph"/>
        <w:ind w:left="567" w:hanging="567"/>
        <w:jc w:val="both"/>
        <w:rPr>
          <w:rFonts w:cs="Arial"/>
          <w:b/>
        </w:rPr>
      </w:pPr>
      <w:r w:rsidRPr="008520E8">
        <w:rPr>
          <w:rFonts w:cs="Arial"/>
        </w:rPr>
        <w:t>Exclusions data is reported annually to Education Scrutiny Committee but performance targe</w:t>
      </w:r>
      <w:r>
        <w:rPr>
          <w:rFonts w:cs="Arial"/>
        </w:rPr>
        <w:t>ts and indicators are not set</w:t>
      </w:r>
      <w:r w:rsidR="003037D0">
        <w:rPr>
          <w:rFonts w:cs="Arial"/>
        </w:rPr>
        <w:t>.</w:t>
      </w:r>
    </w:p>
    <w:p w:rsidR="00001C9F" w:rsidRPr="00001C9F" w:rsidRDefault="00CB66BC" w:rsidP="00CB66BC">
      <w:pPr>
        <w:tabs>
          <w:tab w:val="num" w:pos="567"/>
          <w:tab w:val="right" w:pos="9072"/>
        </w:tabs>
        <w:spacing w:before="120" w:after="120" w:line="240" w:lineRule="auto"/>
        <w:ind w:left="567"/>
        <w:jc w:val="both"/>
        <w:rPr>
          <w:rFonts w:ascii="Arial" w:hAnsi="Arial" w:cs="Arial"/>
          <w:b/>
          <w:sz w:val="24"/>
          <w:szCs w:val="24"/>
          <w:lang w:eastAsia="en-GB"/>
        </w:rPr>
      </w:pPr>
      <w:r w:rsidRPr="00001C9F">
        <w:rPr>
          <w:rFonts w:ascii="Arial" w:hAnsi="Arial" w:cs="Arial"/>
          <w:b/>
          <w:sz w:val="24"/>
          <w:szCs w:val="24"/>
          <w:lang w:eastAsia="en-GB"/>
        </w:rPr>
        <w:t>Contractors' compliance with legislative requirements</w:t>
      </w:r>
      <w:r w:rsidRPr="00001C9F">
        <w:rPr>
          <w:rFonts w:ascii="Arial" w:hAnsi="Arial" w:cs="Arial"/>
          <w:sz w:val="24"/>
          <w:szCs w:val="24"/>
          <w:lang w:eastAsia="en-GB"/>
        </w:rPr>
        <w:tab/>
        <w:t>(Limited assurance)</w:t>
      </w:r>
    </w:p>
    <w:p w:rsidR="00001C9F" w:rsidRDefault="00CB66BC" w:rsidP="00CB66BC">
      <w:pPr>
        <w:pStyle w:val="Rparagraph"/>
        <w:ind w:left="567" w:hanging="567"/>
        <w:jc w:val="both"/>
      </w:pPr>
      <w:r w:rsidRPr="000C64C0">
        <w:t>The Design and Construction Service enters into contracts for the servicing, repair and testing of fixed engineering installations and other equipment in premises owned</w:t>
      </w:r>
      <w:r>
        <w:t xml:space="preserve"> or occupied</w:t>
      </w:r>
      <w:r w:rsidRPr="000C64C0">
        <w:t xml:space="preserve"> by the county council to ensure compliance with health and safety regulations. The team then monitors the contractors' performance to ensure that they are fulfilling the technical specifications and the legal requirements of their contracts. In March 2019 </w:t>
      </w:r>
      <w:r>
        <w:t>the team was responsible for 29</w:t>
      </w:r>
      <w:r w:rsidRPr="000C64C0">
        <w:t xml:space="preserve"> contracts w</w:t>
      </w:r>
      <w:r>
        <w:t>ith a combined value of £5.2</w:t>
      </w:r>
      <w:r w:rsidRPr="000C64C0">
        <w:t xml:space="preserve"> million.</w:t>
      </w:r>
    </w:p>
    <w:p w:rsidR="00CC6E16" w:rsidRPr="00001C9F" w:rsidRDefault="00CC6E16" w:rsidP="00CC6E16">
      <w:pPr>
        <w:pStyle w:val="Rparagraph"/>
        <w:numPr>
          <w:ilvl w:val="0"/>
          <w:numId w:val="0"/>
        </w:numPr>
        <w:ind w:left="567"/>
        <w:jc w:val="both"/>
      </w:pPr>
    </w:p>
    <w:p w:rsidR="00001C9F" w:rsidRPr="00001C9F" w:rsidRDefault="00CB66BC" w:rsidP="00CB66BC">
      <w:pPr>
        <w:pStyle w:val="Rparagraph"/>
        <w:ind w:left="567" w:hanging="567"/>
        <w:jc w:val="both"/>
      </w:pPr>
      <w:r>
        <w:t>T</w:t>
      </w:r>
      <w:r w:rsidRPr="00EC52B2">
        <w:t xml:space="preserve">hrough its contractors, the council ensures that the </w:t>
      </w:r>
      <w:r>
        <w:t xml:space="preserve">engineering installations and other equipment in </w:t>
      </w:r>
      <w:r w:rsidRPr="00EC52B2">
        <w:t>buildings it occupies are compliant with health and safety regulations</w:t>
      </w:r>
      <w:r>
        <w:t>: t</w:t>
      </w:r>
      <w:r w:rsidRPr="00EC52B2">
        <w:t xml:space="preserve">esting takes place and remedial work is undertaken without undue delay. However there are significant weaknesses in </w:t>
      </w:r>
      <w:r w:rsidRPr="009E117F">
        <w:t xml:space="preserve">the </w:t>
      </w:r>
      <w:r w:rsidRPr="00EC52B2">
        <w:t>management of these contracts.</w:t>
      </w:r>
    </w:p>
    <w:p w:rsidR="00001C9F" w:rsidRPr="00001C9F" w:rsidRDefault="00CB66BC" w:rsidP="00CB66BC">
      <w:pPr>
        <w:pStyle w:val="Rparagraph"/>
        <w:ind w:left="567" w:hanging="567"/>
        <w:jc w:val="both"/>
      </w:pPr>
      <w:r w:rsidRPr="009E117F">
        <w:t>Although contracts are periodically re-tendered the</w:t>
      </w:r>
      <w:r w:rsidRPr="00EC52B2">
        <w:t xml:space="preserve"> schedules of rates remain </w:t>
      </w:r>
      <w:r>
        <w:t xml:space="preserve">largely </w:t>
      </w:r>
      <w:r w:rsidRPr="00EC52B2">
        <w:t xml:space="preserve">constant. Lines are added or deleted </w:t>
      </w:r>
      <w:r>
        <w:t xml:space="preserve">from the schedules </w:t>
      </w:r>
      <w:r w:rsidRPr="00EC52B2">
        <w:t>to meet marginal changes in requirements</w:t>
      </w:r>
      <w:r>
        <w:t>,</w:t>
      </w:r>
      <w:r w:rsidRPr="00EC52B2">
        <w:t xml:space="preserve"> and the costs are generally increased at a standard 3% each year</w:t>
      </w:r>
      <w:r>
        <w:t>.</w:t>
      </w:r>
      <w:r w:rsidRPr="00EC52B2">
        <w:t xml:space="preserve"> </w:t>
      </w:r>
      <w:r>
        <w:t>One contract from our</w:t>
      </w:r>
      <w:r w:rsidRPr="00EC52B2">
        <w:t xml:space="preserve"> sample of five </w:t>
      </w:r>
      <w:r>
        <w:t>had expired but has been formally extended by the Procurement service;</w:t>
      </w:r>
      <w:r w:rsidRPr="00EC52B2">
        <w:t xml:space="preserve"> </w:t>
      </w:r>
      <w:r>
        <w:t xml:space="preserve">however </w:t>
      </w:r>
      <w:r w:rsidRPr="00EC52B2">
        <w:t xml:space="preserve">the schedules of rates used for two of the other four contracts date from 2014, and one </w:t>
      </w:r>
      <w:r>
        <w:t xml:space="preserve">dates from </w:t>
      </w:r>
      <w:r w:rsidRPr="00EC52B2">
        <w:t>2016</w:t>
      </w:r>
      <w:r>
        <w:t xml:space="preserve"> </w:t>
      </w:r>
      <w:r>
        <w:lastRenderedPageBreak/>
        <w:t>(and t</w:t>
      </w:r>
      <w:r w:rsidRPr="00EC52B2">
        <w:t xml:space="preserve">he contract associated with </w:t>
      </w:r>
      <w:r>
        <w:t xml:space="preserve">this </w:t>
      </w:r>
      <w:r w:rsidRPr="00EC52B2">
        <w:t>schedule has not been signed but has bee</w:t>
      </w:r>
      <w:r>
        <w:t>n in operation since April 2017</w:t>
      </w:r>
      <w:r w:rsidRPr="00EC52B2">
        <w:t>)</w:t>
      </w:r>
      <w:r>
        <w:t>.</w:t>
      </w:r>
    </w:p>
    <w:p w:rsidR="00001C9F" w:rsidRPr="00001C9F" w:rsidRDefault="00CB66BC" w:rsidP="00CB66BC">
      <w:pPr>
        <w:pStyle w:val="Rparagraph"/>
        <w:ind w:left="567" w:hanging="567"/>
        <w:jc w:val="both"/>
      </w:pPr>
      <w:r w:rsidRPr="00EC52B2">
        <w:t xml:space="preserve">The contracts </w:t>
      </w:r>
      <w:r>
        <w:t xml:space="preserve">include performance measures but these are not proactively monitored, either through </w:t>
      </w:r>
      <w:r w:rsidRPr="00BA4897">
        <w:t>regular</w:t>
      </w:r>
      <w:r w:rsidRPr="00133E61">
        <w:t xml:space="preserve"> </w:t>
      </w:r>
      <w:r>
        <w:t xml:space="preserve">meetings with the suppliers or by </w:t>
      </w:r>
      <w:r w:rsidRPr="005A02ED">
        <w:t xml:space="preserve">reviewing </w:t>
      </w:r>
      <w:r>
        <w:t xml:space="preserve">reliable </w:t>
      </w:r>
      <w:r w:rsidRPr="005A02ED">
        <w:t>performance data.</w:t>
      </w:r>
      <w:r>
        <w:t xml:space="preserve"> Contract monitoring meetings take place but are sporadic. In three of five cases performance data has not </w:t>
      </w:r>
      <w:r w:rsidRPr="00C55EF6">
        <w:t xml:space="preserve">been provided </w:t>
      </w:r>
      <w:r>
        <w:t>regularly. T</w:t>
      </w:r>
      <w:r w:rsidRPr="00C55EF6">
        <w:t>he</w:t>
      </w:r>
      <w:r>
        <w:t>ir</w:t>
      </w:r>
      <w:r w:rsidRPr="00C55EF6">
        <w:t xml:space="preserve"> contract</w:t>
      </w:r>
      <w:r>
        <w:t>s</w:t>
      </w:r>
      <w:r w:rsidRPr="00C55EF6">
        <w:t xml:space="preserve"> </w:t>
      </w:r>
      <w:r>
        <w:t xml:space="preserve">stipulate that inflation will be applied </w:t>
      </w:r>
      <w:r w:rsidRPr="00C55EF6">
        <w:t xml:space="preserve">to the </w:t>
      </w:r>
      <w:r>
        <w:t xml:space="preserve">rates </w:t>
      </w:r>
      <w:r w:rsidRPr="00C55EF6">
        <w:t>charge</w:t>
      </w:r>
      <w:r>
        <w:t>d by the suppliers</w:t>
      </w:r>
      <w:r w:rsidRPr="00C55EF6">
        <w:t xml:space="preserve"> </w:t>
      </w:r>
      <w:r>
        <w:t>if they meet their key performance targets but it is not clear how this is being assessed and, as noted above, the rates have nonetheless been increased</w:t>
      </w:r>
      <w:r w:rsidRPr="00C55EF6">
        <w:t xml:space="preserve">. </w:t>
      </w:r>
      <w:r>
        <w:t>Where performance data have been provided they have not been independently verified by the council.</w:t>
      </w:r>
    </w:p>
    <w:p w:rsidR="00001C9F" w:rsidRPr="00001C9F" w:rsidRDefault="00CB66BC" w:rsidP="00CB66BC">
      <w:pPr>
        <w:pStyle w:val="Rparagraph"/>
        <w:ind w:left="567" w:hanging="567"/>
        <w:jc w:val="both"/>
      </w:pPr>
      <w:r w:rsidRPr="00C55EF6">
        <w:t xml:space="preserve">The </w:t>
      </w:r>
      <w:r>
        <w:t xml:space="preserve">contractors' </w:t>
      </w:r>
      <w:r w:rsidRPr="00C55EF6">
        <w:t xml:space="preserve">invoices are processed for payment </w:t>
      </w:r>
      <w:r>
        <w:t>as and when they are received but</w:t>
      </w:r>
      <w:r w:rsidRPr="00C55EF6">
        <w:t xml:space="preserve"> </w:t>
      </w:r>
      <w:r>
        <w:t xml:space="preserve">are not </w:t>
      </w:r>
      <w:r w:rsidRPr="00C55EF6">
        <w:t>robust</w:t>
      </w:r>
      <w:r>
        <w:t>ly checked. However we found no evidence that inappropriate charges have been raised</w:t>
      </w:r>
      <w:r w:rsidRPr="00C55EF6">
        <w:t>.</w:t>
      </w:r>
    </w:p>
    <w:p w:rsidR="00001C9F" w:rsidRDefault="00CB66BC" w:rsidP="00CB66BC">
      <w:pPr>
        <w:tabs>
          <w:tab w:val="num" w:pos="567"/>
          <w:tab w:val="right" w:pos="9072"/>
        </w:tabs>
        <w:spacing w:before="120" w:line="240" w:lineRule="auto"/>
        <w:ind w:left="567"/>
        <w:jc w:val="both"/>
        <w:rPr>
          <w:rFonts w:ascii="Arial" w:hAnsi="Arial" w:cs="Arial"/>
          <w:b/>
          <w:sz w:val="24"/>
          <w:szCs w:val="24"/>
          <w:lang w:eastAsia="en-GB"/>
        </w:rPr>
      </w:pPr>
      <w:r w:rsidRPr="00001C9F">
        <w:rPr>
          <w:rFonts w:ascii="Arial" w:hAnsi="Arial" w:cs="Arial"/>
          <w:b/>
          <w:sz w:val="24"/>
          <w:szCs w:val="24"/>
          <w:lang w:eastAsia="en-GB"/>
        </w:rPr>
        <w:t>Contract monitoring: contracts with Atkins and Jacobs</w:t>
      </w:r>
    </w:p>
    <w:p w:rsidR="00001C9F" w:rsidRPr="00001C9F" w:rsidRDefault="00CB66BC" w:rsidP="0039524A">
      <w:pPr>
        <w:tabs>
          <w:tab w:val="num" w:pos="567"/>
          <w:tab w:val="right" w:pos="9072"/>
        </w:tabs>
        <w:spacing w:after="120" w:line="240" w:lineRule="auto"/>
        <w:ind w:left="567"/>
        <w:jc w:val="both"/>
        <w:rPr>
          <w:rFonts w:ascii="Arial" w:hAnsi="Arial" w:cs="Arial"/>
          <w:sz w:val="24"/>
          <w:szCs w:val="24"/>
          <w:lang w:eastAsia="en-GB"/>
        </w:rPr>
      </w:pPr>
      <w:r>
        <w:rPr>
          <w:rFonts w:ascii="Arial" w:hAnsi="Arial" w:cs="Arial"/>
          <w:sz w:val="24"/>
          <w:szCs w:val="24"/>
          <w:lang w:eastAsia="en-GB"/>
        </w:rPr>
        <w:tab/>
      </w:r>
      <w:r w:rsidRPr="00001C9F">
        <w:rPr>
          <w:rFonts w:ascii="Arial" w:hAnsi="Arial" w:cs="Arial"/>
          <w:sz w:val="24"/>
          <w:szCs w:val="24"/>
          <w:lang w:eastAsia="en-GB"/>
        </w:rPr>
        <w:t>(Moderate assurance)</w:t>
      </w:r>
    </w:p>
    <w:p w:rsidR="00001C9F" w:rsidRPr="00001C9F" w:rsidRDefault="00CB66BC" w:rsidP="00CB66BC">
      <w:pPr>
        <w:pStyle w:val="Rparagraph"/>
        <w:ind w:left="567" w:hanging="567"/>
        <w:jc w:val="both"/>
      </w:pPr>
      <w:r w:rsidRPr="00046E15">
        <w:t xml:space="preserve">The council has </w:t>
      </w:r>
      <w:r>
        <w:t>entered into</w:t>
      </w:r>
      <w:r w:rsidRPr="00046E15">
        <w:t xml:space="preserve"> framework agreements with two </w:t>
      </w:r>
      <w:r>
        <w:t xml:space="preserve">suppliers – </w:t>
      </w:r>
      <w:r w:rsidRPr="00046E15">
        <w:t xml:space="preserve">Atkins Ltd and Jacobs UK Ltd </w:t>
      </w:r>
      <w:r>
        <w:t xml:space="preserve">– </w:t>
      </w:r>
      <w:r w:rsidRPr="00046E15">
        <w:t>for technical and professional services in relation to civil engineering, landscape and ecology, traffic modelling and transport planning. The frameworks are used by the Design and Construction, Highways</w:t>
      </w:r>
      <w:r>
        <w:t>,</w:t>
      </w:r>
      <w:r w:rsidRPr="00046E15">
        <w:t xml:space="preserve"> and Planning and Environment services when resources are not available in</w:t>
      </w:r>
      <w:r>
        <w:t>ternally</w:t>
      </w:r>
      <w:r w:rsidRPr="00046E15">
        <w:t xml:space="preserve">. The total value of commissions under the 2017-20 agreements </w:t>
      </w:r>
      <w:r>
        <w:t>between July 2017 and</w:t>
      </w:r>
      <w:r w:rsidRPr="00046E15">
        <w:t xml:space="preserve"> September 2018 was £3.7 million.</w:t>
      </w:r>
    </w:p>
    <w:p w:rsidR="00001C9F" w:rsidRPr="00CC6E16" w:rsidRDefault="00CB66BC" w:rsidP="00CB66BC">
      <w:pPr>
        <w:pStyle w:val="Rparagraph"/>
        <w:ind w:left="567" w:hanging="567"/>
        <w:jc w:val="both"/>
        <w:rPr>
          <w:b/>
        </w:rPr>
      </w:pPr>
      <w:r w:rsidRPr="00046E15">
        <w:t xml:space="preserve">Commissioning activity is appropriately authorised and projects are allocated to the suppliers in accordance with the terms of the framework agreements. Payments are appropriately authorised and the commissioned work is monitored to ensure it happens within budget and in a timely manner. There is regular communication between representatives of the council and Jacobs UK Ltd at the appropriate levels. The relationship with Atkins is being strengthened with more frequent board and group meetings being scheduled than previously. </w:t>
      </w:r>
    </w:p>
    <w:p w:rsidR="00CC6E16" w:rsidRDefault="00CC6E16" w:rsidP="00CC6E16">
      <w:pPr>
        <w:pStyle w:val="Rheading"/>
        <w:numPr>
          <w:ilvl w:val="0"/>
          <w:numId w:val="0"/>
        </w:numPr>
        <w:ind w:left="567" w:hanging="567"/>
      </w:pPr>
    </w:p>
    <w:p w:rsidR="00CC6E16" w:rsidRDefault="00CC6E16" w:rsidP="00CC6E16">
      <w:pPr>
        <w:pStyle w:val="Rheading"/>
        <w:numPr>
          <w:ilvl w:val="0"/>
          <w:numId w:val="0"/>
        </w:numPr>
        <w:ind w:left="567" w:hanging="567"/>
      </w:pPr>
    </w:p>
    <w:p w:rsidR="00CC6E16" w:rsidRPr="00046E15" w:rsidRDefault="00CC6E16" w:rsidP="00CC6E16">
      <w:pPr>
        <w:pStyle w:val="Rheading"/>
        <w:numPr>
          <w:ilvl w:val="0"/>
          <w:numId w:val="0"/>
        </w:numPr>
        <w:ind w:left="567" w:hanging="567"/>
      </w:pPr>
    </w:p>
    <w:p w:rsidR="006C7955" w:rsidRPr="006C7955" w:rsidRDefault="00CB66BC" w:rsidP="00CB66BC">
      <w:pPr>
        <w:tabs>
          <w:tab w:val="num" w:pos="567"/>
          <w:tab w:val="right" w:pos="9072"/>
        </w:tabs>
        <w:spacing w:before="120" w:line="240" w:lineRule="auto"/>
        <w:ind w:left="567"/>
        <w:jc w:val="both"/>
        <w:rPr>
          <w:rFonts w:ascii="Arial" w:hAnsi="Arial" w:cs="Arial"/>
          <w:b/>
          <w:sz w:val="24"/>
          <w:szCs w:val="24"/>
          <w:lang w:eastAsia="en-GB"/>
        </w:rPr>
      </w:pPr>
      <w:r w:rsidRPr="006C7955">
        <w:rPr>
          <w:rFonts w:ascii="Arial" w:hAnsi="Arial" w:cs="Arial"/>
          <w:b/>
          <w:sz w:val="24"/>
          <w:szCs w:val="24"/>
          <w:lang w:eastAsia="en-GB"/>
        </w:rPr>
        <w:t>Heavy goods vehicle operator's licence: compliance with conditions</w:t>
      </w:r>
    </w:p>
    <w:p w:rsidR="006C7955" w:rsidRPr="006C7955" w:rsidRDefault="00CB66BC" w:rsidP="0039524A">
      <w:pPr>
        <w:tabs>
          <w:tab w:val="num" w:pos="567"/>
          <w:tab w:val="right" w:pos="9072"/>
        </w:tabs>
        <w:spacing w:after="120" w:line="240" w:lineRule="auto"/>
        <w:ind w:left="567"/>
        <w:jc w:val="both"/>
        <w:rPr>
          <w:rFonts w:ascii="Arial" w:hAnsi="Arial" w:cs="Arial"/>
          <w:sz w:val="24"/>
          <w:szCs w:val="24"/>
          <w:lang w:eastAsia="en-GB"/>
        </w:rPr>
      </w:pPr>
      <w:r>
        <w:rPr>
          <w:rFonts w:ascii="Arial" w:hAnsi="Arial" w:cs="Arial"/>
          <w:sz w:val="24"/>
          <w:szCs w:val="24"/>
          <w:lang w:eastAsia="en-GB"/>
        </w:rPr>
        <w:tab/>
        <w:t>(</w:t>
      </w:r>
      <w:r w:rsidRPr="006C7955">
        <w:rPr>
          <w:rFonts w:ascii="Arial" w:hAnsi="Arial" w:cs="Arial"/>
          <w:sz w:val="24"/>
          <w:szCs w:val="24"/>
          <w:lang w:eastAsia="en-GB"/>
        </w:rPr>
        <w:t>Moderate assurance</w:t>
      </w:r>
      <w:r>
        <w:rPr>
          <w:rFonts w:ascii="Arial" w:hAnsi="Arial" w:cs="Arial"/>
          <w:sz w:val="24"/>
          <w:szCs w:val="24"/>
          <w:lang w:eastAsia="en-GB"/>
        </w:rPr>
        <w:t>)</w:t>
      </w:r>
    </w:p>
    <w:p w:rsidR="006C7955" w:rsidRPr="006C7955" w:rsidRDefault="00CB66BC" w:rsidP="00CB66BC">
      <w:pPr>
        <w:pStyle w:val="Rparagraph"/>
        <w:ind w:left="567" w:hanging="567"/>
        <w:jc w:val="both"/>
      </w:pPr>
      <w:r w:rsidRPr="008C72BC">
        <w:t xml:space="preserve">Under the Goods Vehicles (Licensing of Operators) Act 1995, the </w:t>
      </w:r>
      <w:r>
        <w:t>c</w:t>
      </w:r>
      <w:r w:rsidRPr="008C72BC">
        <w:t xml:space="preserve">ouncil requires a licence to operate heavy goods vehicles. It is an offence to operate without a licence and retention of the license is conditional on appropriate fleet management practice, which </w:t>
      </w:r>
      <w:r>
        <w:t xml:space="preserve">is monitored by </w:t>
      </w:r>
      <w:r w:rsidRPr="008C72BC">
        <w:t>the Driver and</w:t>
      </w:r>
      <w:r>
        <w:t xml:space="preserve"> Vehicle Standards Agency</w:t>
      </w:r>
      <w:r w:rsidRPr="008C72BC">
        <w:t xml:space="preserve">. In the event of non-compliance the licence can be restricted or withdrawn, severely restricting the council's ability to deliver its services. </w:t>
      </w:r>
      <w:r>
        <w:t>License c</w:t>
      </w:r>
      <w:r w:rsidRPr="008C72BC">
        <w:t>onditions include ensuring vehicle sa</w:t>
      </w:r>
      <w:r>
        <w:t xml:space="preserve">fety through regular inspection, </w:t>
      </w:r>
      <w:r w:rsidRPr="008C72BC">
        <w:t xml:space="preserve">servicing and maintenance schedules, and </w:t>
      </w:r>
      <w:r>
        <w:t>safe and effective</w:t>
      </w:r>
      <w:r w:rsidRPr="008C72BC">
        <w:t xml:space="preserve"> workshop operating conditions</w:t>
      </w:r>
      <w:r>
        <w:t>.</w:t>
      </w:r>
    </w:p>
    <w:p w:rsidR="006C7955" w:rsidRPr="006C7955" w:rsidRDefault="00CB66BC" w:rsidP="00CB66BC">
      <w:pPr>
        <w:pStyle w:val="Rparagraph"/>
        <w:ind w:left="567" w:hanging="567"/>
        <w:jc w:val="both"/>
      </w:pPr>
      <w:r w:rsidRPr="00585B1A">
        <w:t xml:space="preserve">The Public and Integrated Transport Service and the Highways Service between them operate approximately 120 vehicles under licence. There are systems in place to manage compliance with license conditions, although evidence of the operation of some key controls is not consistently available. The driver's manual for each vehicle records the vehicle's checks, servicing and maintenance </w:t>
      </w:r>
      <w:r>
        <w:t xml:space="preserve">as well </w:t>
      </w:r>
      <w:r>
        <w:lastRenderedPageBreak/>
        <w:t>as providing</w:t>
      </w:r>
      <w:r w:rsidRPr="00585B1A">
        <w:t xml:space="preserve"> useful advice and guidance on road and vehicle safety. Drivers are required to check vehicles in accordance with the manual </w:t>
      </w:r>
      <w:r>
        <w:t xml:space="preserve">before </w:t>
      </w:r>
      <w:r w:rsidRPr="00585B1A">
        <w:t>us</w:t>
      </w:r>
      <w:r>
        <w:t>ing them</w:t>
      </w:r>
      <w:r w:rsidRPr="00585B1A">
        <w:t>, but do not always sign to record that they have done so. Work is scheduled on each vehicle but is not always carried out on time, which risks the effective operation of the vehicle as well as reducing the efficiency of the workshop.</w:t>
      </w:r>
    </w:p>
    <w:p w:rsidR="006C7955" w:rsidRPr="006C7955" w:rsidRDefault="00CB66BC" w:rsidP="00CB66BC">
      <w:pPr>
        <w:pStyle w:val="Rparagraph"/>
        <w:ind w:left="567" w:hanging="567"/>
        <w:jc w:val="both"/>
      </w:pPr>
      <w:r w:rsidRPr="008B0FCA">
        <w:t xml:space="preserve">Separate lists of drivers are maintained by </w:t>
      </w:r>
      <w:r>
        <w:t xml:space="preserve">the </w:t>
      </w:r>
      <w:r w:rsidRPr="00585B1A">
        <w:t xml:space="preserve">Public and Integrated Transport Service </w:t>
      </w:r>
      <w:r w:rsidRPr="008B0FCA">
        <w:t xml:space="preserve">and Highways Service </w:t>
      </w:r>
      <w:r>
        <w:t xml:space="preserve">and </w:t>
      </w:r>
      <w:r w:rsidRPr="008B0FCA">
        <w:t xml:space="preserve">there is no single list recording all drivers, which could </w:t>
      </w:r>
      <w:r>
        <w:t xml:space="preserve">otherwise </w:t>
      </w:r>
      <w:r w:rsidRPr="008B0FCA">
        <w:t xml:space="preserve">facilitate </w:t>
      </w:r>
      <w:r>
        <w:t xml:space="preserve">corporate </w:t>
      </w:r>
      <w:r w:rsidRPr="008B0FCA">
        <w:t xml:space="preserve">compliance </w:t>
      </w:r>
      <w:r>
        <w:t xml:space="preserve">checks on </w:t>
      </w:r>
      <w:r w:rsidRPr="008B0FCA">
        <w:t>driving licence</w:t>
      </w:r>
      <w:r>
        <w:t>s</w:t>
      </w:r>
      <w:r w:rsidRPr="008B0FCA">
        <w:t xml:space="preserve"> and training requirements. </w:t>
      </w:r>
      <w:r>
        <w:t>The c</w:t>
      </w:r>
      <w:r w:rsidRPr="008B0FCA">
        <w:t>ouncil</w:t>
      </w:r>
      <w:r>
        <w:t>'s</w:t>
      </w:r>
      <w:r w:rsidRPr="008B0FCA">
        <w:t xml:space="preserve"> policy does not </w:t>
      </w:r>
      <w:r>
        <w:t xml:space="preserve">currently </w:t>
      </w:r>
      <w:r w:rsidRPr="008B0FCA">
        <w:t>allow for drug and alcohol testing of any staff including drivers, but this is being reviewed and would strengthen controls over the opera</w:t>
      </w:r>
      <w:r>
        <w:t>tion of the council's vehicles.</w:t>
      </w:r>
    </w:p>
    <w:p w:rsidR="00F2520D" w:rsidRPr="00F2520D" w:rsidRDefault="00CB66BC" w:rsidP="00CB66BC">
      <w:pPr>
        <w:tabs>
          <w:tab w:val="num" w:pos="567"/>
          <w:tab w:val="right" w:pos="9072"/>
        </w:tabs>
        <w:spacing w:before="120" w:line="240" w:lineRule="auto"/>
        <w:ind w:left="567"/>
        <w:jc w:val="both"/>
        <w:rPr>
          <w:rFonts w:ascii="Arial" w:hAnsi="Arial" w:cs="Arial"/>
          <w:b/>
          <w:sz w:val="24"/>
          <w:szCs w:val="24"/>
          <w:lang w:eastAsia="en-GB"/>
        </w:rPr>
      </w:pPr>
      <w:r w:rsidRPr="00F2520D">
        <w:rPr>
          <w:rFonts w:ascii="Arial" w:hAnsi="Arial" w:cs="Arial"/>
          <w:b/>
          <w:sz w:val="24"/>
          <w:szCs w:val="24"/>
          <w:lang w:eastAsia="en-GB"/>
        </w:rPr>
        <w:t>Capital programme: commissioning, design and monitoring</w:t>
      </w:r>
    </w:p>
    <w:p w:rsidR="00F2520D" w:rsidRDefault="00CB66BC" w:rsidP="0039524A">
      <w:pPr>
        <w:tabs>
          <w:tab w:val="num" w:pos="567"/>
          <w:tab w:val="right" w:pos="9072"/>
        </w:tabs>
        <w:spacing w:after="120" w:line="240" w:lineRule="auto"/>
        <w:ind w:left="567"/>
        <w:jc w:val="both"/>
        <w:rPr>
          <w:rFonts w:ascii="Arial" w:hAnsi="Arial" w:cs="Arial"/>
          <w:sz w:val="24"/>
          <w:szCs w:val="24"/>
          <w:lang w:eastAsia="en-GB"/>
        </w:rPr>
      </w:pPr>
      <w:r>
        <w:rPr>
          <w:rFonts w:ascii="Arial" w:hAnsi="Arial" w:cs="Arial"/>
          <w:sz w:val="24"/>
          <w:szCs w:val="24"/>
          <w:lang w:eastAsia="en-GB"/>
        </w:rPr>
        <w:tab/>
        <w:t xml:space="preserve">(Moderate </w:t>
      </w:r>
      <w:r w:rsidRPr="00750FD6">
        <w:rPr>
          <w:rFonts w:ascii="Arial" w:hAnsi="Arial" w:cs="Arial"/>
          <w:sz w:val="24"/>
          <w:szCs w:val="24"/>
          <w:lang w:eastAsia="en-GB"/>
        </w:rPr>
        <w:t>assurance</w:t>
      </w:r>
      <w:r>
        <w:rPr>
          <w:rFonts w:ascii="Arial" w:hAnsi="Arial" w:cs="Arial"/>
          <w:sz w:val="24"/>
          <w:szCs w:val="24"/>
          <w:lang w:eastAsia="en-GB"/>
        </w:rPr>
        <w:t>)</w:t>
      </w:r>
    </w:p>
    <w:p w:rsidR="00F2520D" w:rsidRPr="00F2520D" w:rsidRDefault="00CB66BC" w:rsidP="00CB66BC">
      <w:pPr>
        <w:pStyle w:val="Rparagraph"/>
        <w:ind w:left="567" w:hanging="567"/>
        <w:jc w:val="both"/>
      </w:pPr>
      <w:r w:rsidRPr="00D96315">
        <w:t xml:space="preserve">The capital programme has a variety of funding streams including government grants, receipts </w:t>
      </w:r>
      <w:r>
        <w:t xml:space="preserve">from the sale of </w:t>
      </w:r>
      <w:r w:rsidRPr="00D96315">
        <w:t>capital</w:t>
      </w:r>
      <w:r>
        <w:t xml:space="preserve"> assets</w:t>
      </w:r>
      <w:r w:rsidRPr="00D96315">
        <w:t xml:space="preserve">, revenue funds and borrowing. </w:t>
      </w:r>
      <w:r>
        <w:t xml:space="preserve">On the </w:t>
      </w:r>
      <w:r w:rsidRPr="00D96315">
        <w:t>Cabinet</w:t>
      </w:r>
      <w:r>
        <w:t>'s recommendation</w:t>
      </w:r>
      <w:r w:rsidRPr="00D96315">
        <w:t xml:space="preserve"> the full C</w:t>
      </w:r>
      <w:r>
        <w:t>ouncil approves an updated four-</w:t>
      </w:r>
      <w:r w:rsidRPr="00D96315">
        <w:t>year programme for investment in capital projects annually. Cabinet also receives and considers quarterly capital monitoring reports, and approves additions and changes to the capital programme. A number of directors and other office</w:t>
      </w:r>
      <w:r>
        <w:t>rs from across the council form</w:t>
      </w:r>
      <w:r w:rsidRPr="00D96315">
        <w:t xml:space="preserve"> the Capital Board</w:t>
      </w:r>
      <w:r>
        <w:t xml:space="preserve">, which </w:t>
      </w:r>
      <w:r w:rsidRPr="00D96315">
        <w:t xml:space="preserve">supports this cycle </w:t>
      </w:r>
      <w:r>
        <w:t xml:space="preserve">of </w:t>
      </w:r>
      <w:r w:rsidRPr="00D96315">
        <w:t>reporting and decision-making.</w:t>
      </w:r>
    </w:p>
    <w:p w:rsidR="00F2520D" w:rsidRPr="00F2520D" w:rsidRDefault="00CB66BC" w:rsidP="00CB66BC">
      <w:pPr>
        <w:pStyle w:val="Rparagraph"/>
        <w:ind w:left="567" w:hanging="567"/>
        <w:jc w:val="both"/>
      </w:pPr>
      <w:r>
        <w:t>T</w:t>
      </w:r>
      <w:r w:rsidRPr="0037390A">
        <w:t xml:space="preserve">he Programme and Project Management System (PPMS) </w:t>
      </w:r>
      <w:r>
        <w:t>i</w:t>
      </w:r>
      <w:r w:rsidRPr="0037390A">
        <w:t xml:space="preserve">s used to manage capital programme projects. </w:t>
      </w:r>
      <w:r>
        <w:t xml:space="preserve">This </w:t>
      </w:r>
      <w:r w:rsidRPr="0037390A">
        <w:t>is an onlin</w:t>
      </w:r>
      <w:r>
        <w:t>e system designed to provide a "</w:t>
      </w:r>
      <w:r w:rsidRPr="0037390A">
        <w:t>single, u</w:t>
      </w:r>
      <w:r>
        <w:t>nified and fit for purpose tool"</w:t>
      </w:r>
      <w:r w:rsidRPr="0037390A">
        <w:t xml:space="preserve"> to standardise how council projects are managed to improve project control and reporting.</w:t>
      </w:r>
    </w:p>
    <w:p w:rsidR="00F2520D" w:rsidRPr="00F2520D" w:rsidRDefault="00CB66BC" w:rsidP="00CB66BC">
      <w:pPr>
        <w:pStyle w:val="Rparagraph"/>
        <w:ind w:left="567" w:hanging="567"/>
        <w:jc w:val="both"/>
      </w:pPr>
      <w:r w:rsidRPr="0005298F">
        <w:t>There are effective processes in place to develop and implement the capital programme</w:t>
      </w:r>
      <w:r>
        <w:t>: to assess and approve projects, respond</w:t>
      </w:r>
      <w:r w:rsidRPr="0005298F">
        <w:t xml:space="preserve"> to political</w:t>
      </w:r>
      <w:r>
        <w:t>,</w:t>
      </w:r>
      <w:r w:rsidRPr="0005298F">
        <w:t xml:space="preserve"> policy</w:t>
      </w:r>
      <w:r>
        <w:t xml:space="preserve"> and </w:t>
      </w:r>
      <w:r w:rsidRPr="0005298F">
        <w:t xml:space="preserve">service decisions, </w:t>
      </w:r>
      <w:r>
        <w:t>ensure the availability of funding, and align</w:t>
      </w:r>
      <w:r w:rsidRPr="0005298F">
        <w:t xml:space="preserve"> work with other organisations.</w:t>
      </w:r>
    </w:p>
    <w:p w:rsidR="00F2520D" w:rsidRPr="00F2520D" w:rsidRDefault="00CB66BC" w:rsidP="00CB66BC">
      <w:pPr>
        <w:pStyle w:val="Rparagraph"/>
        <w:ind w:left="567" w:hanging="567"/>
        <w:jc w:val="both"/>
      </w:pPr>
      <w:r w:rsidRPr="00CA2846">
        <w:t>The Capital Board is overseeing the ongoing completion of a number of actions in response to an audit in 2017/18. In particular, a dashboard of performance indicators</w:t>
      </w:r>
      <w:r>
        <w:t xml:space="preserve"> and a risk register are being developed although problems</w:t>
      </w:r>
      <w:r w:rsidRPr="0005298F">
        <w:t xml:space="preserve"> with PPMS</w:t>
      </w:r>
      <w:r>
        <w:t>'s</w:t>
      </w:r>
      <w:r w:rsidRPr="0005298F">
        <w:t xml:space="preserve"> report</w:t>
      </w:r>
      <w:r>
        <w:t xml:space="preserve">ing functionality </w:t>
      </w:r>
      <w:r w:rsidRPr="0005298F">
        <w:t>ha</w:t>
      </w:r>
      <w:r>
        <w:t>ve</w:t>
      </w:r>
      <w:r w:rsidRPr="0005298F">
        <w:t xml:space="preserve"> delayed progress</w:t>
      </w:r>
      <w:r>
        <w:t xml:space="preserve">. It is also intended to provide the system's </w:t>
      </w:r>
      <w:r w:rsidRPr="0005298F">
        <w:t>users with refreshed guidance.</w:t>
      </w:r>
      <w:r>
        <w:t xml:space="preserve"> The board</w:t>
      </w:r>
      <w:r w:rsidRPr="00963D06">
        <w:t xml:space="preserve"> is also implementing an action plan from an external review undertaken during 2019, which is designed to promote the consistent use of PPMS </w:t>
      </w:r>
      <w:r>
        <w:t>for monitoring and forecasting.</w:t>
      </w:r>
    </w:p>
    <w:p w:rsidR="00FC6F6E" w:rsidRPr="00FC6F6E" w:rsidRDefault="00CB66BC" w:rsidP="00CB66BC">
      <w:pPr>
        <w:tabs>
          <w:tab w:val="num" w:pos="567"/>
          <w:tab w:val="right" w:pos="9072"/>
        </w:tabs>
        <w:spacing w:before="120" w:line="240" w:lineRule="auto"/>
        <w:ind w:left="567"/>
        <w:jc w:val="both"/>
        <w:rPr>
          <w:rFonts w:ascii="Arial" w:hAnsi="Arial" w:cs="Arial"/>
          <w:b/>
          <w:sz w:val="24"/>
          <w:szCs w:val="24"/>
          <w:lang w:eastAsia="en-GB"/>
        </w:rPr>
      </w:pPr>
      <w:r w:rsidRPr="00FC6F6E">
        <w:rPr>
          <w:rFonts w:ascii="Arial" w:hAnsi="Arial" w:cs="Arial"/>
          <w:b/>
          <w:sz w:val="24"/>
          <w:szCs w:val="24"/>
          <w:lang w:eastAsia="en-GB"/>
        </w:rPr>
        <w:t>New custodianship arrangements for the Lancashire Pension Fund</w:t>
      </w:r>
    </w:p>
    <w:p w:rsidR="00FC6F6E" w:rsidRPr="00750FD6" w:rsidRDefault="00CB66BC" w:rsidP="0039524A">
      <w:pPr>
        <w:tabs>
          <w:tab w:val="num" w:pos="567"/>
          <w:tab w:val="right" w:pos="9072"/>
        </w:tabs>
        <w:spacing w:after="120" w:line="240" w:lineRule="auto"/>
        <w:ind w:left="567"/>
        <w:jc w:val="both"/>
        <w:rPr>
          <w:rFonts w:ascii="Arial" w:hAnsi="Arial" w:cs="Arial"/>
          <w:sz w:val="24"/>
          <w:szCs w:val="24"/>
          <w:lang w:eastAsia="en-GB"/>
        </w:rPr>
      </w:pPr>
      <w:r>
        <w:rPr>
          <w:rFonts w:ascii="Arial" w:hAnsi="Arial" w:cs="Arial"/>
          <w:sz w:val="24"/>
          <w:szCs w:val="24"/>
          <w:lang w:eastAsia="en-GB"/>
        </w:rPr>
        <w:tab/>
        <w:t xml:space="preserve">(Substantial </w:t>
      </w:r>
      <w:r w:rsidRPr="00750FD6">
        <w:rPr>
          <w:rFonts w:ascii="Arial" w:hAnsi="Arial" w:cs="Arial"/>
          <w:sz w:val="24"/>
          <w:szCs w:val="24"/>
          <w:lang w:eastAsia="en-GB"/>
        </w:rPr>
        <w:t>assurance</w:t>
      </w:r>
      <w:r>
        <w:rPr>
          <w:rFonts w:ascii="Arial" w:hAnsi="Arial" w:cs="Arial"/>
          <w:sz w:val="24"/>
          <w:szCs w:val="24"/>
          <w:lang w:eastAsia="en-GB"/>
        </w:rPr>
        <w:t>)</w:t>
      </w:r>
    </w:p>
    <w:p w:rsidR="00FC6F6E" w:rsidRPr="00FC6F6E" w:rsidRDefault="00CB66BC" w:rsidP="00CB66BC">
      <w:pPr>
        <w:pStyle w:val="Rparagraph"/>
        <w:ind w:left="567" w:hanging="567"/>
        <w:jc w:val="both"/>
      </w:pPr>
      <w:r w:rsidRPr="003D5C4C">
        <w:t xml:space="preserve">The Pensions Act requires the Pension Fund to have adequate internal control mechanisms in place, including arrangements for safe custody and security of the assets of the scheme. The Pension Fund therefore requires a custodian to hold </w:t>
      </w:r>
      <w:r>
        <w:t>its assets.</w:t>
      </w:r>
    </w:p>
    <w:p w:rsidR="00FC6F6E" w:rsidRPr="00FC6F6E" w:rsidRDefault="00CB66BC" w:rsidP="00CB66BC">
      <w:pPr>
        <w:pStyle w:val="Rparagraph"/>
        <w:ind w:left="567" w:hanging="567"/>
        <w:jc w:val="both"/>
      </w:pPr>
      <w:r w:rsidRPr="003D5C4C">
        <w:t>The custodian appointed by the council (Northern Trust) holds £1.6 billion of the £7.9 billion of assets belonging to the Pension Fund</w:t>
      </w:r>
      <w:r>
        <w:t xml:space="preserve">: </w:t>
      </w:r>
      <w:r w:rsidRPr="003D5C4C">
        <w:t xml:space="preserve">the remaining assets are </w:t>
      </w:r>
      <w:r w:rsidRPr="003D5C4C">
        <w:lastRenderedPageBreak/>
        <w:t xml:space="preserve">held by the custodian for </w:t>
      </w:r>
      <w:r>
        <w:t>LPP</w:t>
      </w:r>
      <w:r w:rsidRPr="003D5C4C">
        <w:t xml:space="preserve"> (BNY Mellon). Northern Trust obtains information from BNY Mellon and presents information on</w:t>
      </w:r>
      <w:r>
        <w:t xml:space="preserve"> the whole fund to the council.</w:t>
      </w:r>
    </w:p>
    <w:p w:rsidR="00FC6F6E" w:rsidRPr="00FC6F6E" w:rsidRDefault="00CB66BC" w:rsidP="00CB66BC">
      <w:pPr>
        <w:pStyle w:val="Rparagraph"/>
        <w:ind w:left="567" w:hanging="567"/>
        <w:jc w:val="both"/>
      </w:pPr>
      <w:r w:rsidRPr="00E366A9">
        <w:t xml:space="preserve">We identified no </w:t>
      </w:r>
      <w:r>
        <w:t xml:space="preserve">unmitigated risks </w:t>
      </w:r>
      <w:r w:rsidRPr="00E366A9">
        <w:t>in the course of our audit</w:t>
      </w:r>
      <w:r>
        <w:t xml:space="preserve"> and no further action is required of management</w:t>
      </w:r>
      <w:r w:rsidRPr="00E366A9">
        <w:t>.</w:t>
      </w:r>
    </w:p>
    <w:p w:rsidR="00FC6F6E" w:rsidRPr="00FC6F6E" w:rsidRDefault="00CB66BC" w:rsidP="00CB66BC">
      <w:pPr>
        <w:tabs>
          <w:tab w:val="num" w:pos="567"/>
          <w:tab w:val="right" w:pos="9072"/>
        </w:tabs>
        <w:spacing w:before="120" w:after="120" w:line="240" w:lineRule="auto"/>
        <w:ind w:left="567"/>
        <w:jc w:val="both"/>
        <w:rPr>
          <w:rFonts w:ascii="Arial" w:hAnsi="Arial" w:cs="Arial"/>
          <w:b/>
          <w:sz w:val="24"/>
          <w:szCs w:val="24"/>
          <w:lang w:eastAsia="en-GB"/>
        </w:rPr>
      </w:pPr>
      <w:r w:rsidRPr="00FC6F6E">
        <w:rPr>
          <w:rFonts w:ascii="Arial" w:hAnsi="Arial" w:cs="Arial"/>
          <w:b/>
          <w:sz w:val="24"/>
          <w:szCs w:val="24"/>
          <w:lang w:eastAsia="en-GB"/>
        </w:rPr>
        <w:t>Oracle user access</w:t>
      </w:r>
      <w:r w:rsidRPr="00FC6F6E">
        <w:rPr>
          <w:rFonts w:ascii="Arial" w:hAnsi="Arial" w:cs="Arial"/>
          <w:sz w:val="24"/>
          <w:szCs w:val="24"/>
          <w:lang w:eastAsia="en-GB"/>
        </w:rPr>
        <w:tab/>
        <w:t>(Moderate assurance)</w:t>
      </w:r>
    </w:p>
    <w:p w:rsidR="00FC6F6E" w:rsidRPr="00FC6F6E" w:rsidRDefault="00CB66BC" w:rsidP="00CB66BC">
      <w:pPr>
        <w:pStyle w:val="Rparagraph"/>
        <w:ind w:left="567" w:hanging="567"/>
        <w:jc w:val="both"/>
      </w:pPr>
      <w:r w:rsidRPr="006F3230">
        <w:t>Oracle access controls are adequately designed</w:t>
      </w:r>
      <w:r>
        <w:t xml:space="preserve"> but some action is required to enhance them further. </w:t>
      </w:r>
      <w:r w:rsidRPr="009F11DF">
        <w:t xml:space="preserve">Officers within the Core Systems team are able to use the Oracle hierarchy to confirm that requests for access </w:t>
      </w:r>
      <w:r>
        <w:t xml:space="preserve">have been </w:t>
      </w:r>
      <w:r w:rsidRPr="009F11DF">
        <w:t xml:space="preserve">submitted by an appropriate line manager, </w:t>
      </w:r>
      <w:r>
        <w:t>but</w:t>
      </w:r>
      <w:r w:rsidRPr="009F11DF">
        <w:t xml:space="preserve"> </w:t>
      </w:r>
      <w:r>
        <w:t xml:space="preserve">there should be greater </w:t>
      </w:r>
      <w:r w:rsidRPr="009F11DF">
        <w:t xml:space="preserve">clarity </w:t>
      </w:r>
      <w:r>
        <w:t xml:space="preserve">about what </w:t>
      </w:r>
      <w:r w:rsidRPr="009F11DF">
        <w:t xml:space="preserve">permissions are appropriate and </w:t>
      </w:r>
      <w:r>
        <w:t xml:space="preserve">any </w:t>
      </w:r>
      <w:r w:rsidRPr="009F11DF">
        <w:t xml:space="preserve">conflicting permissions </w:t>
      </w:r>
      <w:r>
        <w:t>should be identified.</w:t>
      </w:r>
    </w:p>
    <w:p w:rsidR="00FC6F6E" w:rsidRPr="00FC6F6E" w:rsidRDefault="00CB66BC" w:rsidP="00CB66BC">
      <w:pPr>
        <w:pStyle w:val="Rparagraph"/>
        <w:ind w:left="567" w:hanging="567"/>
        <w:jc w:val="both"/>
      </w:pPr>
      <w:r>
        <w:t>Senior officers in BT Lancashire Services Ltd (BTLS) have super-</w:t>
      </w:r>
      <w:r w:rsidRPr="009F11DF">
        <w:t>user permissions in the live system across all modules in Oracle</w:t>
      </w:r>
      <w:r>
        <w:t xml:space="preserve">. We </w:t>
      </w:r>
      <w:r w:rsidRPr="009F11DF">
        <w:t xml:space="preserve">understand </w:t>
      </w:r>
      <w:r>
        <w:t>th</w:t>
      </w:r>
      <w:r w:rsidRPr="009F11DF">
        <w:t xml:space="preserve">is </w:t>
      </w:r>
      <w:r>
        <w:t>is required for trouble-</w:t>
      </w:r>
      <w:r w:rsidRPr="009F11DF">
        <w:t>shooting technical issues and for certain tasks such as amending error</w:t>
      </w:r>
      <w:r>
        <w:t>s</w:t>
      </w:r>
      <w:r w:rsidRPr="009F11DF">
        <w:t xml:space="preserve"> on BACs files</w:t>
      </w:r>
      <w:r>
        <w:t xml:space="preserve">, but in future the council's </w:t>
      </w:r>
      <w:r w:rsidRPr="009F11DF">
        <w:t xml:space="preserve">Core </w:t>
      </w:r>
      <w:r>
        <w:t>S</w:t>
      </w:r>
      <w:r w:rsidRPr="009F11DF">
        <w:t xml:space="preserve">ystems </w:t>
      </w:r>
      <w:r>
        <w:t xml:space="preserve">team will </w:t>
      </w:r>
      <w:r w:rsidRPr="009F11DF">
        <w:t xml:space="preserve">monitor the need for </w:t>
      </w:r>
      <w:r>
        <w:t xml:space="preserve">and </w:t>
      </w:r>
      <w:r w:rsidRPr="009F11DF">
        <w:t>use of such permi</w:t>
      </w:r>
      <w:r>
        <w:t>s</w:t>
      </w:r>
      <w:r w:rsidRPr="009F11DF">
        <w:t>sions.</w:t>
      </w:r>
    </w:p>
    <w:p w:rsidR="00FC6F6E" w:rsidRPr="009F11DF" w:rsidRDefault="00CB66BC" w:rsidP="00CB66BC">
      <w:pPr>
        <w:pStyle w:val="Rparagraph"/>
        <w:ind w:left="567" w:hanging="567"/>
        <w:jc w:val="both"/>
        <w:rPr>
          <w:b/>
        </w:rPr>
      </w:pPr>
      <w:r w:rsidRPr="009F11DF">
        <w:t xml:space="preserve">Whilst there are controls in place to remove access permissions from users when they leave the council, the same processes do not apply when an officer moves within the council. </w:t>
      </w:r>
      <w:r>
        <w:t>C</w:t>
      </w:r>
      <w:r w:rsidRPr="009F11DF">
        <w:t xml:space="preserve">onsideration </w:t>
      </w:r>
      <w:r>
        <w:t xml:space="preserve">will </w:t>
      </w:r>
      <w:r w:rsidRPr="009F11DF">
        <w:t xml:space="preserve">be given to the introduction of a transfer </w:t>
      </w:r>
      <w:r>
        <w:t>checklist</w:t>
      </w:r>
      <w:r w:rsidRPr="009F11DF">
        <w:t xml:space="preserve"> to be used by line managers as officers leave their team</w:t>
      </w:r>
      <w:r>
        <w:t>.</w:t>
      </w:r>
    </w:p>
    <w:p w:rsidR="00FC6F6E" w:rsidRPr="00FC6F6E" w:rsidRDefault="00CB66BC" w:rsidP="00CB66BC">
      <w:pPr>
        <w:tabs>
          <w:tab w:val="num" w:pos="567"/>
          <w:tab w:val="right" w:pos="9072"/>
        </w:tabs>
        <w:spacing w:before="120" w:after="120" w:line="240" w:lineRule="auto"/>
        <w:ind w:left="567"/>
        <w:jc w:val="both"/>
        <w:rPr>
          <w:rFonts w:ascii="Arial" w:hAnsi="Arial" w:cs="Arial"/>
          <w:b/>
          <w:sz w:val="24"/>
          <w:szCs w:val="24"/>
          <w:lang w:eastAsia="en-GB"/>
        </w:rPr>
      </w:pPr>
      <w:proofErr w:type="spellStart"/>
      <w:r w:rsidRPr="00FC6F6E">
        <w:rPr>
          <w:rFonts w:ascii="Arial" w:hAnsi="Arial" w:cs="Arial"/>
          <w:b/>
          <w:sz w:val="24"/>
          <w:szCs w:val="24"/>
          <w:lang w:eastAsia="en-GB"/>
        </w:rPr>
        <w:t>Liquidlogic</w:t>
      </w:r>
      <w:proofErr w:type="spellEnd"/>
      <w:r w:rsidRPr="00FC6F6E">
        <w:rPr>
          <w:rFonts w:ascii="Arial" w:hAnsi="Arial" w:cs="Arial"/>
          <w:b/>
          <w:sz w:val="24"/>
          <w:szCs w:val="24"/>
          <w:lang w:eastAsia="en-GB"/>
        </w:rPr>
        <w:t xml:space="preserve"> Adults System (LAS) &amp; Liquidlogic Children's System (LCS) user a</w:t>
      </w:r>
      <w:r>
        <w:rPr>
          <w:rFonts w:ascii="Arial" w:hAnsi="Arial" w:cs="Arial"/>
          <w:b/>
          <w:sz w:val="24"/>
          <w:szCs w:val="24"/>
          <w:lang w:eastAsia="en-GB"/>
        </w:rPr>
        <w:t>ccess</w:t>
      </w:r>
      <w:r w:rsidRPr="00FC6F6E">
        <w:rPr>
          <w:rFonts w:ascii="Arial" w:hAnsi="Arial" w:cs="Arial"/>
          <w:sz w:val="24"/>
          <w:szCs w:val="24"/>
          <w:lang w:eastAsia="en-GB"/>
        </w:rPr>
        <w:tab/>
        <w:t>(Moderate assurance)</w:t>
      </w:r>
    </w:p>
    <w:p w:rsidR="00FC6F6E" w:rsidRPr="00FC6F6E" w:rsidRDefault="00CB66BC" w:rsidP="00CB66BC">
      <w:pPr>
        <w:pStyle w:val="Rparagraph"/>
        <w:ind w:left="567" w:hanging="567"/>
        <w:jc w:val="both"/>
      </w:pPr>
      <w:r w:rsidRPr="009E0908">
        <w:t xml:space="preserve">LAS and LCS are primarily used </w:t>
      </w:r>
      <w:r>
        <w:t>to administer</w:t>
      </w:r>
      <w:r w:rsidRPr="009E0908">
        <w:t xml:space="preserve"> adults' and children's social care service users' data </w:t>
      </w:r>
      <w:r>
        <w:t xml:space="preserve">including </w:t>
      </w:r>
      <w:r w:rsidRPr="009E0908">
        <w:t>sensitive personal information</w:t>
      </w:r>
      <w:r>
        <w:t>,</w:t>
      </w:r>
      <w:r w:rsidRPr="009E0908">
        <w:t xml:space="preserve"> and the case work of social workers and support staff. </w:t>
      </w:r>
      <w:r>
        <w:t>T</w:t>
      </w:r>
      <w:r w:rsidRPr="009E0908">
        <w:t xml:space="preserve">he </w:t>
      </w:r>
      <w:r>
        <w:t xml:space="preserve">council's </w:t>
      </w:r>
      <w:r w:rsidRPr="009E0908">
        <w:t xml:space="preserve">policies and procedures must </w:t>
      </w:r>
      <w:r>
        <w:t xml:space="preserve">therefore comply </w:t>
      </w:r>
      <w:r w:rsidRPr="009E0908">
        <w:t xml:space="preserve">with the Data Protection Act </w:t>
      </w:r>
      <w:r>
        <w:t>2018</w:t>
      </w:r>
      <w:r w:rsidRPr="009E0908">
        <w:t xml:space="preserve"> and the Caldicott principles</w:t>
      </w:r>
      <w:r>
        <w:t>,</w:t>
      </w:r>
      <w:r w:rsidRPr="009E0908">
        <w:t xml:space="preserve"> and user access permissions </w:t>
      </w:r>
      <w:r>
        <w:t xml:space="preserve">should be carefully managed. In June 2019 </w:t>
      </w:r>
      <w:r w:rsidRPr="009E0908">
        <w:t xml:space="preserve">there </w:t>
      </w:r>
      <w:r>
        <w:t xml:space="preserve">were more than </w:t>
      </w:r>
      <w:r w:rsidRPr="009E0908">
        <w:t>2</w:t>
      </w:r>
      <w:r>
        <w:t>,</w:t>
      </w:r>
      <w:r w:rsidRPr="009E0908">
        <w:t>5</w:t>
      </w:r>
      <w:r>
        <w:t>00</w:t>
      </w:r>
      <w:r w:rsidRPr="009E0908">
        <w:t xml:space="preserve"> </w:t>
      </w:r>
      <w:r>
        <w:t xml:space="preserve">LAS </w:t>
      </w:r>
      <w:r w:rsidRPr="009E0908">
        <w:t>user</w:t>
      </w:r>
      <w:r>
        <w:t xml:space="preserve"> profiles and more than </w:t>
      </w:r>
      <w:r w:rsidRPr="009E0908">
        <w:t>4</w:t>
      </w:r>
      <w:r>
        <w:t>,</w:t>
      </w:r>
      <w:r w:rsidRPr="009E0908">
        <w:t>0</w:t>
      </w:r>
      <w:r>
        <w:t>00</w:t>
      </w:r>
      <w:r w:rsidRPr="009E0908">
        <w:t xml:space="preserve"> </w:t>
      </w:r>
      <w:r>
        <w:t xml:space="preserve">user </w:t>
      </w:r>
      <w:r w:rsidRPr="009E0908">
        <w:t xml:space="preserve">profiles </w:t>
      </w:r>
      <w:r>
        <w:t xml:space="preserve">on </w:t>
      </w:r>
      <w:r w:rsidRPr="009E0908">
        <w:t>LCS</w:t>
      </w:r>
      <w:r>
        <w:t>, which includes user profiles of the recently implemented Early Help Module</w:t>
      </w:r>
      <w:r w:rsidRPr="009E0908">
        <w:t xml:space="preserve">. </w:t>
      </w:r>
    </w:p>
    <w:p w:rsidR="00FC6F6E" w:rsidRPr="00FC6F6E" w:rsidRDefault="00CB66BC" w:rsidP="00CB66BC">
      <w:pPr>
        <w:pStyle w:val="Rparagraph"/>
        <w:ind w:left="567" w:hanging="567"/>
        <w:jc w:val="both"/>
      </w:pPr>
      <w:r>
        <w:t>T</w:t>
      </w:r>
      <w:r w:rsidRPr="00BC4515">
        <w:t xml:space="preserve">he majority of user access permissions we sampled </w:t>
      </w:r>
      <w:r>
        <w:t>a</w:t>
      </w:r>
      <w:r w:rsidRPr="00BC4515">
        <w:t>re appropriate to officers' roles and responsibilities</w:t>
      </w:r>
      <w:r>
        <w:t>, although t</w:t>
      </w:r>
      <w:r w:rsidRPr="00BC4515">
        <w:t xml:space="preserve">wo users </w:t>
      </w:r>
      <w:r>
        <w:t xml:space="preserve">of the 35 we tested </w:t>
      </w:r>
      <w:r w:rsidRPr="00BC4515">
        <w:t xml:space="preserve">appear to hold a higher access than required. We were unable to confirm in all cases that access requests had been </w:t>
      </w:r>
      <w:r>
        <w:t xml:space="preserve">properly </w:t>
      </w:r>
      <w:r w:rsidRPr="00BC4515">
        <w:t xml:space="preserve">approved and that all users had completed the relevant e-learning modules, but understand that this is due to the migration of </w:t>
      </w:r>
      <w:r>
        <w:t>users' data</w:t>
      </w:r>
      <w:r w:rsidRPr="00BC4515">
        <w:t xml:space="preserve"> from the previous system.</w:t>
      </w:r>
    </w:p>
    <w:p w:rsidR="00FC6F6E" w:rsidRPr="00FC6F6E" w:rsidRDefault="00CB66BC" w:rsidP="00CB66BC">
      <w:pPr>
        <w:pStyle w:val="Rparagraph"/>
        <w:ind w:left="567" w:hanging="567"/>
        <w:jc w:val="both"/>
      </w:pPr>
      <w:r>
        <w:t>Three super-</w:t>
      </w:r>
      <w:r w:rsidRPr="00BC4515">
        <w:t xml:space="preserve">user accounts </w:t>
      </w:r>
      <w:r>
        <w:t xml:space="preserve">are </w:t>
      </w:r>
      <w:r w:rsidRPr="00BC4515">
        <w:t xml:space="preserve">held by officers who have left the </w:t>
      </w:r>
      <w:r>
        <w:t xml:space="preserve">council, although </w:t>
      </w:r>
      <w:r w:rsidRPr="00BC4515">
        <w:t xml:space="preserve">there are controls in place to remove access permissions from users </w:t>
      </w:r>
      <w:r>
        <w:t xml:space="preserve">as </w:t>
      </w:r>
      <w:r w:rsidRPr="00BC4515">
        <w:t>they leave</w:t>
      </w:r>
      <w:r>
        <w:t xml:space="preserve">. These </w:t>
      </w:r>
      <w:r w:rsidRPr="00BC4515">
        <w:t>processes do not apply when an officer moves within the council</w:t>
      </w:r>
      <w:r>
        <w:t xml:space="preserve"> and action will be taken to strengthen a range of controls, including reviewing the guidance available to staff.</w:t>
      </w:r>
    </w:p>
    <w:p w:rsidR="00CC35B5" w:rsidRPr="00CC35B5" w:rsidRDefault="00CB66BC" w:rsidP="00CB66BC">
      <w:pPr>
        <w:tabs>
          <w:tab w:val="num" w:pos="567"/>
          <w:tab w:val="right" w:pos="9072"/>
        </w:tabs>
        <w:spacing w:before="120" w:after="120" w:line="240" w:lineRule="auto"/>
        <w:ind w:left="567"/>
        <w:jc w:val="both"/>
        <w:rPr>
          <w:rFonts w:ascii="Arial" w:hAnsi="Arial" w:cs="Arial"/>
          <w:b/>
          <w:sz w:val="24"/>
          <w:szCs w:val="24"/>
          <w:lang w:eastAsia="en-GB"/>
        </w:rPr>
      </w:pPr>
      <w:r w:rsidRPr="00CC35B5">
        <w:rPr>
          <w:rFonts w:ascii="Arial" w:hAnsi="Arial" w:cs="Arial"/>
          <w:b/>
          <w:sz w:val="24"/>
          <w:szCs w:val="24"/>
          <w:lang w:eastAsia="en-GB"/>
        </w:rPr>
        <w:t xml:space="preserve">Information </w:t>
      </w:r>
      <w:r>
        <w:rPr>
          <w:rFonts w:ascii="Arial" w:hAnsi="Arial" w:cs="Arial"/>
          <w:b/>
          <w:sz w:val="24"/>
          <w:szCs w:val="24"/>
          <w:lang w:eastAsia="en-GB"/>
        </w:rPr>
        <w:t>s</w:t>
      </w:r>
      <w:r w:rsidRPr="00CC35B5">
        <w:rPr>
          <w:rFonts w:ascii="Arial" w:hAnsi="Arial" w:cs="Arial"/>
          <w:b/>
          <w:sz w:val="24"/>
          <w:szCs w:val="24"/>
          <w:lang w:eastAsia="en-GB"/>
        </w:rPr>
        <w:t xml:space="preserve">ecurity and </w:t>
      </w:r>
      <w:r>
        <w:rPr>
          <w:rFonts w:ascii="Arial" w:hAnsi="Arial" w:cs="Arial"/>
          <w:b/>
          <w:sz w:val="24"/>
          <w:szCs w:val="24"/>
          <w:lang w:eastAsia="en-GB"/>
        </w:rPr>
        <w:t>management</w:t>
      </w:r>
      <w:r w:rsidRPr="00CC35B5">
        <w:rPr>
          <w:rFonts w:ascii="Arial" w:hAnsi="Arial" w:cs="Arial"/>
          <w:sz w:val="24"/>
          <w:szCs w:val="24"/>
          <w:lang w:eastAsia="en-GB"/>
        </w:rPr>
        <w:tab/>
        <w:t>(Substantial assurance)</w:t>
      </w:r>
    </w:p>
    <w:p w:rsidR="00CC35B5" w:rsidRPr="00CC35B5" w:rsidRDefault="00CB66BC" w:rsidP="00CB66BC">
      <w:pPr>
        <w:pStyle w:val="Rparagraph"/>
        <w:ind w:left="567" w:hanging="567"/>
        <w:jc w:val="both"/>
      </w:pPr>
      <w:r w:rsidRPr="00D136C5">
        <w:t xml:space="preserve">Information security management </w:t>
      </w:r>
      <w:r>
        <w:t>involves</w:t>
      </w:r>
      <w:r w:rsidRPr="00D136C5">
        <w:t xml:space="preserve"> protecting information from unauthorised access, disclosure, modification or destruction and is vital</w:t>
      </w:r>
      <w:r>
        <w:t xml:space="preserve"> to compliance with </w:t>
      </w:r>
      <w:r w:rsidRPr="00D136C5">
        <w:t>the Gen</w:t>
      </w:r>
      <w:r>
        <w:t xml:space="preserve">eral Data Protection Regulation. A suite of </w:t>
      </w:r>
      <w:r w:rsidRPr="00D136C5">
        <w:t xml:space="preserve">information governance </w:t>
      </w:r>
      <w:r>
        <w:t xml:space="preserve">and security </w:t>
      </w:r>
      <w:r w:rsidRPr="00D136C5">
        <w:t>policies</w:t>
      </w:r>
      <w:r>
        <w:t xml:space="preserve"> is </w:t>
      </w:r>
      <w:r w:rsidRPr="00D136C5">
        <w:t xml:space="preserve">accessible on </w:t>
      </w:r>
      <w:r>
        <w:t>the council's i</w:t>
      </w:r>
      <w:r w:rsidRPr="00D136C5">
        <w:t xml:space="preserve">ntranet and </w:t>
      </w:r>
      <w:r>
        <w:t xml:space="preserve">is </w:t>
      </w:r>
      <w:r w:rsidRPr="00D136C5">
        <w:t xml:space="preserve">supported by mandatory </w:t>
      </w:r>
      <w:r>
        <w:t>training.</w:t>
      </w:r>
    </w:p>
    <w:p w:rsidR="00CC35B5" w:rsidRPr="00CC35B5" w:rsidRDefault="00CB66BC" w:rsidP="00CB66BC">
      <w:pPr>
        <w:pStyle w:val="Rparagraph"/>
        <w:ind w:left="567" w:hanging="567"/>
        <w:jc w:val="both"/>
      </w:pPr>
      <w:r w:rsidRPr="00D63EF7">
        <w:lastRenderedPageBreak/>
        <w:t xml:space="preserve">A network of service-based information governance champions supports the Information Governance team in communicating key messages and promoting information security. </w:t>
      </w:r>
      <w:r w:rsidRPr="00A31BDE">
        <w:t xml:space="preserve">Raised awareness </w:t>
      </w:r>
      <w:r>
        <w:t xml:space="preserve">of the importance of information security </w:t>
      </w:r>
      <w:r w:rsidRPr="00A31BDE">
        <w:t xml:space="preserve">and </w:t>
      </w:r>
      <w:r>
        <w:t xml:space="preserve">a simple </w:t>
      </w:r>
      <w:r w:rsidRPr="00A31BDE">
        <w:t xml:space="preserve">reporting </w:t>
      </w:r>
      <w:r>
        <w:t xml:space="preserve">process </w:t>
      </w:r>
      <w:r w:rsidRPr="00A31BDE">
        <w:t>ha</w:t>
      </w:r>
      <w:r>
        <w:t>ve</w:t>
      </w:r>
      <w:r w:rsidRPr="00A31BDE">
        <w:t xml:space="preserve"> increased </w:t>
      </w:r>
      <w:r>
        <w:t xml:space="preserve">the </w:t>
      </w:r>
      <w:r w:rsidRPr="00A31BDE">
        <w:t>numbers of incidents reported to the I</w:t>
      </w:r>
      <w:r>
        <w:t xml:space="preserve">nformation </w:t>
      </w:r>
      <w:r w:rsidRPr="00A31BDE">
        <w:t>G</w:t>
      </w:r>
      <w:r>
        <w:t>overnance</w:t>
      </w:r>
      <w:r w:rsidRPr="00A31BDE">
        <w:t xml:space="preserve"> team from 152 in 2016 to 347 in 2018, </w:t>
      </w:r>
      <w:r>
        <w:t>al</w:t>
      </w:r>
      <w:r w:rsidRPr="00A31BDE">
        <w:t xml:space="preserve">though not all breached policy </w:t>
      </w:r>
      <w:r>
        <w:t>and very few</w:t>
      </w:r>
      <w:r w:rsidRPr="00A31BDE">
        <w:t xml:space="preserve"> were reportable to the ICO. In 2018 </w:t>
      </w:r>
      <w:r w:rsidRPr="00827B78">
        <w:t>ten</w:t>
      </w:r>
      <w:r w:rsidRPr="00CC35B5">
        <w:t xml:space="preserve"> </w:t>
      </w:r>
      <w:r w:rsidRPr="00A31BDE">
        <w:t xml:space="preserve">breaches were reported to the </w:t>
      </w:r>
      <w:r>
        <w:t>ICO.</w:t>
      </w:r>
    </w:p>
    <w:p w:rsidR="00CC35B5" w:rsidRPr="00CC35B5" w:rsidRDefault="00CB66BC" w:rsidP="00CB66BC">
      <w:pPr>
        <w:pStyle w:val="Rparagraph"/>
        <w:ind w:left="567" w:hanging="567"/>
        <w:jc w:val="both"/>
      </w:pPr>
      <w:r w:rsidRPr="00D63EF7">
        <w:t xml:space="preserve">At the same time, guidance, training and communications have helped to reduce the number of incidents </w:t>
      </w:r>
      <w:r>
        <w:t xml:space="preserve">categorised as being </w:t>
      </w:r>
      <w:r w:rsidRPr="00D63EF7">
        <w:t>caused by human error from 62% of the total in April 2018 to 40% in the three months to 31 March 2019. (Incidents may also be caused by theft/ loss, misconduct, technical issues or external factors.)</w:t>
      </w:r>
    </w:p>
    <w:p w:rsidR="00CC35B5" w:rsidRPr="00CC35B5" w:rsidRDefault="00CB66BC" w:rsidP="00CB66BC">
      <w:pPr>
        <w:tabs>
          <w:tab w:val="num" w:pos="567"/>
          <w:tab w:val="right" w:pos="9072"/>
        </w:tabs>
        <w:spacing w:before="120" w:after="120" w:line="240" w:lineRule="auto"/>
        <w:ind w:left="567"/>
        <w:jc w:val="both"/>
        <w:rPr>
          <w:rFonts w:ascii="Arial" w:hAnsi="Arial" w:cs="Arial"/>
          <w:b/>
          <w:sz w:val="24"/>
          <w:szCs w:val="24"/>
          <w:lang w:eastAsia="en-GB"/>
        </w:rPr>
      </w:pPr>
      <w:r w:rsidRPr="00CC35B5">
        <w:rPr>
          <w:rFonts w:ascii="Arial" w:hAnsi="Arial" w:cs="Arial"/>
          <w:b/>
          <w:sz w:val="24"/>
          <w:szCs w:val="24"/>
          <w:lang w:eastAsia="en-GB"/>
        </w:rPr>
        <w:t>Allowances claimed by officers</w:t>
      </w:r>
      <w:r w:rsidRPr="00CC35B5">
        <w:rPr>
          <w:rFonts w:ascii="Arial" w:hAnsi="Arial" w:cs="Arial"/>
          <w:sz w:val="24"/>
          <w:szCs w:val="24"/>
          <w:lang w:eastAsia="en-GB"/>
        </w:rPr>
        <w:tab/>
        <w:t>(Moderate assurance)</w:t>
      </w:r>
    </w:p>
    <w:p w:rsidR="00CC35B5" w:rsidRPr="00CC35B5" w:rsidRDefault="00CB66BC" w:rsidP="00CB66BC">
      <w:pPr>
        <w:pStyle w:val="Rparagraph"/>
        <w:ind w:left="567" w:hanging="567"/>
        <w:jc w:val="both"/>
      </w:pPr>
      <w:r w:rsidRPr="00E17B51">
        <w:t xml:space="preserve">The council pays officers below a certain grade enhanced hourly rates in certain circumstances including hours worked at night, over the weekend, on bank holidays and </w:t>
      </w:r>
      <w:r>
        <w:t>on</w:t>
      </w:r>
      <w:r w:rsidRPr="00E17B51">
        <w:t xml:space="preserve"> weekdays in weeks when </w:t>
      </w:r>
      <w:r>
        <w:t xml:space="preserve">more than 37 </w:t>
      </w:r>
      <w:r w:rsidRPr="00E17B51">
        <w:t xml:space="preserve">hours </w:t>
      </w:r>
      <w:r>
        <w:t xml:space="preserve">have been </w:t>
      </w:r>
      <w:r w:rsidRPr="00E17B51">
        <w:t>worked. Enhancements are also paid in certain roles for sleepi</w:t>
      </w:r>
      <w:r>
        <w:t>ng in and for being on standby.</w:t>
      </w:r>
    </w:p>
    <w:p w:rsidR="00CC35B5" w:rsidRPr="00CC35B5" w:rsidRDefault="00CB66BC" w:rsidP="00CB66BC">
      <w:pPr>
        <w:pStyle w:val="Rparagraph"/>
        <w:ind w:left="567" w:hanging="567"/>
        <w:jc w:val="both"/>
      </w:pPr>
      <w:r w:rsidRPr="005C7DFB">
        <w:t xml:space="preserve">The council's policy and procedures </w:t>
      </w:r>
      <w:r>
        <w:t xml:space="preserve">in relation to </w:t>
      </w:r>
      <w:r w:rsidRPr="005C7DFB">
        <w:t>enhancements are available on the intranet</w:t>
      </w:r>
      <w:r>
        <w:t>,</w:t>
      </w:r>
      <w:r w:rsidRPr="005C7DFB">
        <w:t xml:space="preserve"> but detailed information </w:t>
      </w:r>
      <w:r>
        <w:t>is not readily</w:t>
      </w:r>
      <w:r w:rsidRPr="005C7DFB">
        <w:t xml:space="preserve"> accessible to officers</w:t>
      </w:r>
      <w:r>
        <w:t>.</w:t>
      </w:r>
      <w:r w:rsidRPr="005C7DFB">
        <w:t xml:space="preserve"> Claims must be submitted on Oracle, which has some inbuilt validation controls but also requires managers' authorisation. </w:t>
      </w:r>
      <w:r>
        <w:t xml:space="preserve">Between them these controls have neither prevented nor detected a number of errors although they are </w:t>
      </w:r>
      <w:r w:rsidRPr="00DC4256">
        <w:t>unlikely to be significant in the context of the council's expenditure</w:t>
      </w:r>
      <w:r>
        <w:t>.</w:t>
      </w:r>
    </w:p>
    <w:p w:rsidR="00CC35B5" w:rsidRPr="00CC35B5" w:rsidRDefault="00CB66BC" w:rsidP="00CB66BC">
      <w:pPr>
        <w:pStyle w:val="Rparagraph"/>
        <w:ind w:left="567" w:hanging="567"/>
        <w:jc w:val="both"/>
      </w:pPr>
      <w:r w:rsidRPr="00DC4256">
        <w:t>We used computer software to analyse the whole population of 102,000 claims, amounting to £6.6 million between November 2017 and September 2018</w:t>
      </w:r>
      <w:r>
        <w:t>,</w:t>
      </w:r>
      <w:r w:rsidRPr="00DC4256">
        <w:t xml:space="preserve"> to identify potentially incorrect claims. From the results we selected 132 claims for further testing</w:t>
      </w:r>
      <w:r>
        <w:t>,</w:t>
      </w:r>
      <w:r w:rsidRPr="00DC4256">
        <w:t xml:space="preserve"> </w:t>
      </w:r>
      <w:r>
        <w:t>identifying</w:t>
      </w:r>
      <w:r w:rsidRPr="009308F2">
        <w:t xml:space="preserve"> 22 breaches of four policy </w:t>
      </w:r>
      <w:r>
        <w:t xml:space="preserve">rules </w:t>
      </w:r>
      <w:r w:rsidRPr="009308F2">
        <w:t>and 17 duplicate</w:t>
      </w:r>
      <w:r>
        <w:t>s</w:t>
      </w:r>
      <w:r w:rsidRPr="009308F2">
        <w:t xml:space="preserve"> where second claims had been submitted covering the same period and managers had approved both claims.</w:t>
      </w:r>
      <w:r w:rsidRPr="00DC4256">
        <w:t xml:space="preserve"> The value of these errors amounted to approximately £5,000. A review of allowances is currently being conducted as part of the second phase of the council's 'service challenge' cost saving exercise and the issues identified here will inform that work.</w:t>
      </w:r>
    </w:p>
    <w:p w:rsidR="00CC35B5" w:rsidRPr="00CC35B5" w:rsidRDefault="00CB66BC" w:rsidP="00CB66BC">
      <w:pPr>
        <w:tabs>
          <w:tab w:val="num" w:pos="567"/>
          <w:tab w:val="right" w:pos="9072"/>
        </w:tabs>
        <w:spacing w:before="120" w:after="120" w:line="240" w:lineRule="auto"/>
        <w:ind w:left="567"/>
        <w:jc w:val="both"/>
        <w:rPr>
          <w:rFonts w:ascii="Arial" w:hAnsi="Arial" w:cs="Arial"/>
          <w:b/>
          <w:sz w:val="24"/>
          <w:szCs w:val="24"/>
          <w:lang w:eastAsia="en-GB"/>
        </w:rPr>
      </w:pPr>
      <w:r w:rsidRPr="00CC35B5">
        <w:rPr>
          <w:rFonts w:ascii="Arial" w:hAnsi="Arial" w:cs="Arial"/>
          <w:b/>
          <w:sz w:val="24"/>
          <w:szCs w:val="24"/>
          <w:lang w:eastAsia="en-GB"/>
        </w:rPr>
        <w:t>The use of contractors through personal service companies and compliance with IR 35</w:t>
      </w:r>
      <w:r w:rsidRPr="00CC35B5">
        <w:rPr>
          <w:rFonts w:ascii="Arial" w:hAnsi="Arial" w:cs="Arial"/>
          <w:sz w:val="24"/>
          <w:szCs w:val="24"/>
          <w:lang w:eastAsia="en-GB"/>
        </w:rPr>
        <w:tab/>
        <w:t>(Moderate assurance)</w:t>
      </w:r>
    </w:p>
    <w:p w:rsidR="00CC35B5" w:rsidRPr="00CC35B5" w:rsidRDefault="00CB66BC" w:rsidP="00CB66BC">
      <w:pPr>
        <w:pStyle w:val="Rparagraph"/>
        <w:ind w:left="567" w:hanging="567"/>
        <w:jc w:val="both"/>
      </w:pPr>
      <w:r w:rsidRPr="0040380B">
        <w:t xml:space="preserve">IR35 is tax legislation designed to combat tax avoidance by workers supplying their services </w:t>
      </w:r>
      <w:r>
        <w:t xml:space="preserve">through </w:t>
      </w:r>
      <w:r w:rsidRPr="0040380B">
        <w:t>an intermediary (</w:t>
      </w:r>
      <w:r>
        <w:t xml:space="preserve">for example </w:t>
      </w:r>
      <w:r w:rsidRPr="0040380B">
        <w:t>a limited company</w:t>
      </w:r>
      <w:r>
        <w:t xml:space="preserve">) </w:t>
      </w:r>
      <w:r w:rsidRPr="0040380B">
        <w:t xml:space="preserve">but who would </w:t>
      </w:r>
      <w:r>
        <w:t xml:space="preserve">otherwise </w:t>
      </w:r>
      <w:r w:rsidRPr="0040380B">
        <w:t xml:space="preserve">be </w:t>
      </w:r>
      <w:r>
        <w:t xml:space="preserve">their client's </w:t>
      </w:r>
      <w:r w:rsidRPr="0040380B">
        <w:t xml:space="preserve">employee. </w:t>
      </w:r>
      <w:r>
        <w:t>It requires that tax and national insurance are deducted and f</w:t>
      </w:r>
      <w:r w:rsidRPr="0040380B">
        <w:t xml:space="preserve">ailure to </w:t>
      </w:r>
      <w:r>
        <w:t xml:space="preserve">comply </w:t>
      </w:r>
      <w:r w:rsidRPr="0040380B">
        <w:t xml:space="preserve">may lead to fines being imposed on the </w:t>
      </w:r>
      <w:r>
        <w:t>c</w:t>
      </w:r>
      <w:r w:rsidRPr="0040380B">
        <w:t>ouncil by HMRC.</w:t>
      </w:r>
    </w:p>
    <w:p w:rsidR="00CC35B5" w:rsidRPr="00CC35B5" w:rsidRDefault="00CB66BC" w:rsidP="00CB66BC">
      <w:pPr>
        <w:pStyle w:val="Rparagraph"/>
        <w:ind w:left="567" w:hanging="567"/>
        <w:jc w:val="both"/>
      </w:pPr>
      <w:r w:rsidRPr="00E80AED">
        <w:t>Work is ongoing to develop and implement a control framework that will ensure the council complies with IR35</w:t>
      </w:r>
      <w:r>
        <w:t xml:space="preserve"> and there are</w:t>
      </w:r>
      <w:r w:rsidRPr="00E80AED">
        <w:t xml:space="preserve"> a number of areas where improvement</w:t>
      </w:r>
      <w:r>
        <w:t>s</w:t>
      </w:r>
      <w:r w:rsidRPr="00E80AED">
        <w:t xml:space="preserve"> could be made</w:t>
      </w:r>
      <w:r>
        <w:t>. I</w:t>
      </w:r>
      <w:r w:rsidRPr="00E80AED">
        <w:t>n particular</w:t>
      </w:r>
      <w:r>
        <w:t xml:space="preserve">, we have advised on how planned action to assess the council's </w:t>
      </w:r>
      <w:r w:rsidRPr="00E80AED">
        <w:t xml:space="preserve">existing suppliers </w:t>
      </w:r>
      <w:r>
        <w:t>against IR35 can be undertaken effectively</w:t>
      </w:r>
      <w:r w:rsidRPr="00E80AED">
        <w:t>, a</w:t>
      </w:r>
      <w:r>
        <w:t xml:space="preserve"> legal </w:t>
      </w:r>
      <w:r w:rsidRPr="00E80AED">
        <w:t>indemnity for suppliers of off-contract agency staff</w:t>
      </w:r>
      <w:r>
        <w:t xml:space="preserve"> should be </w:t>
      </w:r>
      <w:r>
        <w:lastRenderedPageBreak/>
        <w:t>developed and used</w:t>
      </w:r>
      <w:r w:rsidRPr="00E80AED">
        <w:t xml:space="preserve">, and the guidance </w:t>
      </w:r>
      <w:r>
        <w:t>for</w:t>
      </w:r>
      <w:r w:rsidRPr="00E80AED">
        <w:t xml:space="preserve"> the council's services </w:t>
      </w:r>
      <w:r>
        <w:t>should be developed and communicated</w:t>
      </w:r>
      <w:r w:rsidRPr="00E80AED">
        <w:t>.</w:t>
      </w:r>
    </w:p>
    <w:p w:rsidR="00CC35B5" w:rsidRPr="00CC35B5" w:rsidRDefault="00CB66BC" w:rsidP="00CB66BC">
      <w:pPr>
        <w:tabs>
          <w:tab w:val="num" w:pos="567"/>
          <w:tab w:val="right" w:pos="9072"/>
        </w:tabs>
        <w:spacing w:before="120" w:after="120" w:line="240" w:lineRule="auto"/>
        <w:ind w:left="567"/>
        <w:jc w:val="both"/>
        <w:rPr>
          <w:rFonts w:ascii="Arial" w:hAnsi="Arial" w:cs="Arial"/>
          <w:b/>
          <w:sz w:val="24"/>
          <w:szCs w:val="24"/>
          <w:lang w:eastAsia="en-GB"/>
        </w:rPr>
      </w:pPr>
      <w:r w:rsidRPr="00CC35B5">
        <w:rPr>
          <w:rFonts w:ascii="Arial" w:hAnsi="Arial" w:cs="Arial"/>
          <w:b/>
          <w:sz w:val="24"/>
          <w:szCs w:val="24"/>
          <w:lang w:eastAsia="en-GB"/>
        </w:rPr>
        <w:t>Capital programme: accounting</w:t>
      </w:r>
      <w:r w:rsidRPr="00CC35B5">
        <w:rPr>
          <w:rFonts w:ascii="Arial" w:hAnsi="Arial" w:cs="Arial"/>
          <w:sz w:val="24"/>
          <w:szCs w:val="24"/>
          <w:lang w:eastAsia="en-GB"/>
        </w:rPr>
        <w:tab/>
        <w:t>(Moderate assurance)</w:t>
      </w:r>
    </w:p>
    <w:p w:rsidR="00CC35B5" w:rsidRPr="00CC35B5" w:rsidRDefault="00CB66BC" w:rsidP="00CB66BC">
      <w:pPr>
        <w:pStyle w:val="Rparagraph"/>
        <w:ind w:left="567" w:hanging="567"/>
        <w:jc w:val="both"/>
      </w:pPr>
      <w:r w:rsidRPr="00571148">
        <w:t xml:space="preserve">The financial information presented to Cabinet includes </w:t>
      </w:r>
      <w:r>
        <w:t>the budget</w:t>
      </w:r>
      <w:r w:rsidRPr="00571148">
        <w:t xml:space="preserve"> and forecast outturn for the financial year</w:t>
      </w:r>
      <w:r>
        <w:t xml:space="preserve"> but </w:t>
      </w:r>
      <w:r w:rsidRPr="00571148">
        <w:t>the Capital Finance Team</w:t>
      </w:r>
      <w:r>
        <w:t xml:space="preserve"> </w:t>
      </w:r>
      <w:r w:rsidRPr="00571148">
        <w:t>is required</w:t>
      </w:r>
      <w:r>
        <w:t xml:space="preserve"> to make a</w:t>
      </w:r>
      <w:r w:rsidRPr="00571148">
        <w:t xml:space="preserve"> significant number of adjustments to </w:t>
      </w:r>
      <w:r>
        <w:t xml:space="preserve">the </w:t>
      </w:r>
      <w:r w:rsidRPr="00571148">
        <w:t xml:space="preserve">data </w:t>
      </w:r>
      <w:r>
        <w:t xml:space="preserve">generated by </w:t>
      </w:r>
      <w:r w:rsidRPr="00571148">
        <w:t xml:space="preserve">PPMS. </w:t>
      </w:r>
      <w:r>
        <w:t xml:space="preserve">This is resource-intensive, places reliance on the key finance staff who understand the adjustments they are making, and risks introducing inaccuracies to the data provided to Cabinet arising from the </w:t>
      </w:r>
      <w:r w:rsidRPr="00571148">
        <w:t xml:space="preserve">extensive </w:t>
      </w:r>
      <w:r>
        <w:t>use of spreadsheets.</w:t>
      </w:r>
    </w:p>
    <w:p w:rsidR="00CC35B5" w:rsidRPr="00CC35B5" w:rsidRDefault="00CB66BC" w:rsidP="00CB66BC">
      <w:pPr>
        <w:pStyle w:val="Rparagraph"/>
        <w:ind w:left="567" w:hanging="567"/>
        <w:jc w:val="both"/>
      </w:pPr>
      <w:r>
        <w:t>However o</w:t>
      </w:r>
      <w:r w:rsidRPr="00571148">
        <w:t xml:space="preserve">ur testing of a sample of five projects confirmed that the general ledger accurately reflected </w:t>
      </w:r>
      <w:r>
        <w:t xml:space="preserve">the </w:t>
      </w:r>
      <w:r w:rsidRPr="00571148">
        <w:t>expenditure recorded in PPMS.</w:t>
      </w:r>
    </w:p>
    <w:p w:rsidR="005A1CD8" w:rsidRDefault="00CB66BC" w:rsidP="00CB66BC">
      <w:pPr>
        <w:tabs>
          <w:tab w:val="num" w:pos="567"/>
          <w:tab w:val="right" w:pos="9072"/>
        </w:tabs>
        <w:spacing w:before="120" w:line="240" w:lineRule="auto"/>
        <w:ind w:left="567"/>
        <w:jc w:val="both"/>
        <w:rPr>
          <w:rFonts w:ascii="Arial" w:hAnsi="Arial" w:cs="Arial"/>
          <w:b/>
          <w:sz w:val="24"/>
          <w:szCs w:val="24"/>
          <w:lang w:eastAsia="en-GB"/>
        </w:rPr>
      </w:pPr>
      <w:r w:rsidRPr="005A1CD8">
        <w:rPr>
          <w:rFonts w:ascii="Arial" w:hAnsi="Arial" w:cs="Arial"/>
          <w:b/>
          <w:sz w:val="24"/>
          <w:szCs w:val="24"/>
          <w:lang w:eastAsia="en-GB"/>
        </w:rPr>
        <w:t>Accounts payable: central and counter fraud controls</w:t>
      </w:r>
    </w:p>
    <w:p w:rsidR="005A1CD8" w:rsidRPr="005A1CD8" w:rsidRDefault="00CB66BC" w:rsidP="00CB66BC">
      <w:pPr>
        <w:tabs>
          <w:tab w:val="num" w:pos="567"/>
          <w:tab w:val="right" w:pos="9072"/>
        </w:tabs>
        <w:spacing w:after="120" w:line="240" w:lineRule="auto"/>
        <w:ind w:left="567"/>
        <w:jc w:val="both"/>
        <w:rPr>
          <w:rFonts w:ascii="Arial" w:hAnsi="Arial" w:cs="Arial"/>
          <w:sz w:val="24"/>
          <w:szCs w:val="24"/>
          <w:lang w:eastAsia="en-GB"/>
        </w:rPr>
      </w:pPr>
      <w:r>
        <w:rPr>
          <w:rFonts w:ascii="Arial" w:hAnsi="Arial" w:cs="Arial"/>
          <w:sz w:val="24"/>
          <w:szCs w:val="24"/>
          <w:lang w:eastAsia="en-GB"/>
        </w:rPr>
        <w:tab/>
        <w:t>(</w:t>
      </w:r>
      <w:r w:rsidRPr="005A1CD8">
        <w:rPr>
          <w:rFonts w:ascii="Arial" w:hAnsi="Arial" w:cs="Arial"/>
          <w:sz w:val="24"/>
          <w:szCs w:val="24"/>
          <w:lang w:eastAsia="en-GB"/>
        </w:rPr>
        <w:t>Substantial assurance</w:t>
      </w:r>
      <w:r>
        <w:rPr>
          <w:rFonts w:ascii="Arial" w:hAnsi="Arial" w:cs="Arial"/>
          <w:sz w:val="24"/>
          <w:szCs w:val="24"/>
          <w:lang w:eastAsia="en-GB"/>
        </w:rPr>
        <w:t>)</w:t>
      </w:r>
    </w:p>
    <w:p w:rsidR="005A1CD8" w:rsidRPr="005A1CD8" w:rsidRDefault="00CB66BC" w:rsidP="00CB66BC">
      <w:pPr>
        <w:pStyle w:val="Rparagraph"/>
        <w:ind w:left="567" w:hanging="567"/>
        <w:jc w:val="both"/>
      </w:pPr>
      <w:r w:rsidRPr="008C5327">
        <w:t>The council uses the Oracle system t</w:t>
      </w:r>
      <w:r>
        <w:t>o process invoices and payments, and c</w:t>
      </w:r>
      <w:r w:rsidRPr="008C5327">
        <w:t xml:space="preserve">ontrols over the system and </w:t>
      </w:r>
      <w:r>
        <w:t xml:space="preserve">the </w:t>
      </w:r>
      <w:r w:rsidRPr="008C5327">
        <w:t>wider payments process are adequate and effective overall</w:t>
      </w:r>
      <w:r>
        <w:t>.</w:t>
      </w:r>
      <w:r w:rsidRPr="008F0ED1">
        <w:t xml:space="preserve"> </w:t>
      </w:r>
      <w:r w:rsidRPr="008C5327">
        <w:t>Action is being taken corporately to address delays in services recording</w:t>
      </w:r>
      <w:r>
        <w:t xml:space="preserve"> the</w:t>
      </w:r>
      <w:r w:rsidRPr="008C5327">
        <w:t xml:space="preserve"> receipt </w:t>
      </w:r>
      <w:r>
        <w:t xml:space="preserve">of goods or service </w:t>
      </w:r>
      <w:r w:rsidRPr="008C5327">
        <w:t xml:space="preserve">on Oracle, which </w:t>
      </w:r>
      <w:r>
        <w:t xml:space="preserve">can </w:t>
      </w:r>
      <w:r w:rsidRPr="008C5327">
        <w:t xml:space="preserve">unnecessarily </w:t>
      </w:r>
      <w:r>
        <w:t>delay</w:t>
      </w:r>
      <w:r w:rsidRPr="008C5327">
        <w:t xml:space="preserve"> payment</w:t>
      </w:r>
      <w:r>
        <w:t>s to suppliers</w:t>
      </w:r>
      <w:r w:rsidRPr="008C5327">
        <w:t>.</w:t>
      </w:r>
    </w:p>
    <w:p w:rsidR="005A1CD8" w:rsidRPr="005A1CD8" w:rsidRDefault="00CB66BC" w:rsidP="00CB66BC">
      <w:pPr>
        <w:pStyle w:val="Rparagraph"/>
        <w:ind w:left="567" w:hanging="567"/>
        <w:jc w:val="both"/>
      </w:pPr>
      <w:r>
        <w:t>Any d</w:t>
      </w:r>
      <w:r w:rsidRPr="008F0ED1">
        <w:t xml:space="preserve">uplicate payments are </w:t>
      </w:r>
      <w:r>
        <w:t xml:space="preserve">proactively </w:t>
      </w:r>
      <w:r w:rsidRPr="008F0ED1">
        <w:t xml:space="preserve">identified by specialist software </w:t>
      </w:r>
      <w:r>
        <w:t xml:space="preserve">provided by </w:t>
      </w:r>
      <w:r w:rsidRPr="008F0ED1">
        <w:t>Fiscal Technologies and these are reviewed</w:t>
      </w:r>
      <w:r>
        <w:t>,</w:t>
      </w:r>
      <w:r w:rsidRPr="008F0ED1">
        <w:t xml:space="preserve"> investigated and reported to the originating services</w:t>
      </w:r>
      <w:r>
        <w:t xml:space="preserve">. </w:t>
      </w:r>
      <w:r w:rsidRPr="008A27C4">
        <w:t xml:space="preserve">The Finance team </w:t>
      </w:r>
      <w:r>
        <w:t xml:space="preserve">intends to </w:t>
      </w:r>
      <w:r w:rsidRPr="008A27C4">
        <w:t>review the functionality of the Fiscal Technologies software because it is likely it could be used to do more to monitor the risk of fraud, for example by identifying orders that are split across a number of different purchase orders to circumvent financial authorisation limits, false invoices and unusual transactions, and unusually high invoice values for regular requisitions.</w:t>
      </w:r>
    </w:p>
    <w:p w:rsidR="005A1CD8" w:rsidRPr="005A1CD8" w:rsidRDefault="00CB66BC" w:rsidP="00CB66BC">
      <w:pPr>
        <w:pStyle w:val="Rparagraph"/>
        <w:ind w:left="567" w:hanging="567"/>
        <w:jc w:val="both"/>
      </w:pPr>
      <w:r>
        <w:t xml:space="preserve">Changes to </w:t>
      </w:r>
      <w:r w:rsidRPr="008A27C4">
        <w:t>supplier</w:t>
      </w:r>
      <w:r>
        <w:t>s'</w:t>
      </w:r>
      <w:r w:rsidRPr="008A27C4">
        <w:t xml:space="preserve"> bank account details on</w:t>
      </w:r>
      <w:r>
        <w:t xml:space="preserve"> the</w:t>
      </w:r>
      <w:r w:rsidRPr="008A27C4">
        <w:t xml:space="preserve"> </w:t>
      </w:r>
      <w:r>
        <w:t xml:space="preserve">Oracle </w:t>
      </w:r>
      <w:r w:rsidRPr="008A27C4">
        <w:t xml:space="preserve">iSupplier </w:t>
      </w:r>
      <w:r>
        <w:t xml:space="preserve">module are </w:t>
      </w:r>
      <w:r w:rsidRPr="008A27C4">
        <w:t xml:space="preserve">not always </w:t>
      </w:r>
      <w:r>
        <w:t>supported by sufficient evidence</w:t>
      </w:r>
      <w:r w:rsidRPr="008A27C4">
        <w:t>, which exposes the council to the risk that supplier details are fraudulently amended.</w:t>
      </w:r>
    </w:p>
    <w:p w:rsidR="00AC10C7" w:rsidRPr="00AC10C7" w:rsidRDefault="00CB66BC" w:rsidP="00CB66BC">
      <w:pPr>
        <w:tabs>
          <w:tab w:val="num" w:pos="567"/>
          <w:tab w:val="right" w:pos="9072"/>
        </w:tabs>
        <w:spacing w:before="120" w:after="120" w:line="240" w:lineRule="auto"/>
        <w:ind w:left="567"/>
        <w:jc w:val="both"/>
        <w:rPr>
          <w:rFonts w:ascii="Arial" w:hAnsi="Arial" w:cs="Arial"/>
          <w:b/>
          <w:sz w:val="24"/>
          <w:szCs w:val="24"/>
          <w:lang w:eastAsia="en-GB"/>
        </w:rPr>
      </w:pPr>
      <w:r w:rsidRPr="00AC10C7">
        <w:rPr>
          <w:rFonts w:ascii="Arial" w:hAnsi="Arial" w:cs="Arial"/>
          <w:b/>
          <w:sz w:val="24"/>
          <w:szCs w:val="24"/>
          <w:lang w:eastAsia="en-GB"/>
        </w:rPr>
        <w:t>Pension Fund cash flow management</w:t>
      </w:r>
      <w:r w:rsidRPr="00AC10C7">
        <w:rPr>
          <w:rFonts w:ascii="Arial" w:hAnsi="Arial" w:cs="Arial"/>
          <w:sz w:val="24"/>
          <w:szCs w:val="24"/>
          <w:lang w:eastAsia="en-GB"/>
        </w:rPr>
        <w:tab/>
        <w:t>(Substantial assurance)</w:t>
      </w:r>
    </w:p>
    <w:p w:rsidR="00AC10C7" w:rsidRPr="00AC10C7" w:rsidRDefault="00CB66BC" w:rsidP="00CB66BC">
      <w:pPr>
        <w:pStyle w:val="Rparagraph"/>
        <w:ind w:left="567" w:hanging="567"/>
        <w:jc w:val="both"/>
      </w:pPr>
      <w:r w:rsidRPr="00AC10C7">
        <w:t xml:space="preserve">The Pension Fund disburses approximately £20 million </w:t>
      </w:r>
      <w:r>
        <w:t>each</w:t>
      </w:r>
      <w:r w:rsidRPr="00AC10C7">
        <w:t xml:space="preserve"> month as pensions and other expenses are paid, offset by contributions and other income. The Pension Fund's policy is to maintain a cash balance of £70 million, held in cash or other highly liquid assets. This is managed by </w:t>
      </w:r>
      <w:r>
        <w:t>the c</w:t>
      </w:r>
      <w:r w:rsidRPr="00AC10C7">
        <w:t>ouncil and is separate from the funds invested by LPP. Any surplus cash should be invested in accordance with the investment strategy to minimise risk and ensure liquidity.</w:t>
      </w:r>
    </w:p>
    <w:p w:rsidR="00AC10C7" w:rsidRPr="00AC10C7" w:rsidRDefault="00CB66BC" w:rsidP="00CB66BC">
      <w:pPr>
        <w:pStyle w:val="Rparagraph"/>
        <w:ind w:left="567" w:hanging="567"/>
        <w:jc w:val="both"/>
      </w:pPr>
      <w:r w:rsidRPr="00AC10C7">
        <w:t>As at 1 January 2019 the balance of cash and short-term liquid assets was £154 million. The additional balance has arisen due to payments in advance by employers to address deficits following the last valuation in 2016: employers were offered a discount on their deficit payments if they paid these in 2017, and many employers took up this offer. LPP is still working to invest this in longer term assets.</w:t>
      </w:r>
    </w:p>
    <w:p w:rsidR="00AC10C7" w:rsidRPr="00AC10C7" w:rsidRDefault="00CB66BC" w:rsidP="00CB66BC">
      <w:pPr>
        <w:pStyle w:val="Rparagraph"/>
        <w:ind w:left="567" w:hanging="567"/>
        <w:jc w:val="both"/>
      </w:pPr>
      <w:r w:rsidRPr="00AC10C7">
        <w:t xml:space="preserve">The Pension Fund Treasury Management Strategy sets out how surplus cash is managed </w:t>
      </w:r>
      <w:r>
        <w:t xml:space="preserve">in </w:t>
      </w:r>
      <w:r w:rsidRPr="00AC10C7">
        <w:t>the short term and we confirmed that surplus cash is managed in accordance with this strategy.</w:t>
      </w:r>
    </w:p>
    <w:p w:rsidR="00AC10C7" w:rsidRDefault="00CB66BC" w:rsidP="00CB66BC">
      <w:pPr>
        <w:tabs>
          <w:tab w:val="num" w:pos="567"/>
          <w:tab w:val="right" w:pos="9072"/>
        </w:tabs>
        <w:spacing w:before="120" w:line="240" w:lineRule="auto"/>
        <w:ind w:left="567"/>
        <w:jc w:val="both"/>
        <w:rPr>
          <w:rFonts w:ascii="Arial" w:hAnsi="Arial" w:cs="Arial"/>
          <w:b/>
          <w:sz w:val="24"/>
          <w:szCs w:val="24"/>
          <w:lang w:eastAsia="en-GB"/>
        </w:rPr>
      </w:pPr>
      <w:r w:rsidRPr="00AC10C7">
        <w:rPr>
          <w:rFonts w:ascii="Arial" w:hAnsi="Arial" w:cs="Arial"/>
          <w:b/>
          <w:sz w:val="24"/>
          <w:szCs w:val="24"/>
          <w:lang w:eastAsia="en-GB"/>
        </w:rPr>
        <w:lastRenderedPageBreak/>
        <w:t>Accounts receivable and debt management: central controls</w:t>
      </w:r>
    </w:p>
    <w:p w:rsidR="00AC10C7" w:rsidRPr="00AC10C7" w:rsidRDefault="00CB66BC" w:rsidP="00CB66BC">
      <w:pPr>
        <w:tabs>
          <w:tab w:val="num" w:pos="567"/>
          <w:tab w:val="right" w:pos="9072"/>
        </w:tabs>
        <w:spacing w:after="120" w:line="240" w:lineRule="auto"/>
        <w:ind w:left="567"/>
        <w:jc w:val="both"/>
        <w:rPr>
          <w:rFonts w:ascii="Arial" w:hAnsi="Arial" w:cs="Arial"/>
          <w:sz w:val="24"/>
          <w:szCs w:val="24"/>
          <w:lang w:eastAsia="en-GB"/>
        </w:rPr>
      </w:pPr>
      <w:r>
        <w:rPr>
          <w:rFonts w:ascii="Arial" w:hAnsi="Arial" w:cs="Arial"/>
          <w:sz w:val="24"/>
          <w:szCs w:val="24"/>
          <w:lang w:eastAsia="en-GB"/>
        </w:rPr>
        <w:tab/>
      </w:r>
      <w:r w:rsidRPr="00AC10C7">
        <w:rPr>
          <w:rFonts w:ascii="Arial" w:hAnsi="Arial" w:cs="Arial"/>
          <w:sz w:val="24"/>
          <w:szCs w:val="24"/>
          <w:lang w:eastAsia="en-GB"/>
        </w:rPr>
        <w:t>(Moderate assurance)</w:t>
      </w:r>
    </w:p>
    <w:p w:rsidR="00AC10C7" w:rsidRPr="00AC10C7" w:rsidRDefault="00CB66BC" w:rsidP="00CB66BC">
      <w:pPr>
        <w:pStyle w:val="Rparagraph"/>
        <w:ind w:left="567" w:hanging="567"/>
        <w:jc w:val="both"/>
      </w:pPr>
      <w:r w:rsidRPr="00AC10C7">
        <w:t>The council's income and debt management policy covers each stage of the income cycle from initial charging through to debt collection, enforcement and write-off where necessary. The functions are managed using Oracle</w:t>
      </w:r>
      <w:r>
        <w:t>,</w:t>
      </w:r>
      <w:r w:rsidRPr="00AC10C7">
        <w:t xml:space="preserve"> and debt collection strategies are programmed and operating to generate action appropriate to the type of debt.</w:t>
      </w:r>
    </w:p>
    <w:p w:rsidR="003878C9" w:rsidRDefault="00CB66BC" w:rsidP="00CB66BC">
      <w:pPr>
        <w:pStyle w:val="Rparagraph"/>
        <w:ind w:left="567" w:hanging="567"/>
        <w:jc w:val="both"/>
      </w:pPr>
      <w:r w:rsidRPr="00AC10C7">
        <w:t>The debt management function has been subject to considerable reorganisation recently. The team was disestablished in April 2018 and its functions redistributed, although its resto</w:t>
      </w:r>
      <w:r>
        <w:t>ration is now being considered.</w:t>
      </w:r>
    </w:p>
    <w:p w:rsidR="00AC10C7" w:rsidRPr="00AC10C7" w:rsidRDefault="00CB66BC" w:rsidP="00CB66BC">
      <w:pPr>
        <w:pStyle w:val="Rparagraph"/>
        <w:ind w:left="567" w:hanging="567"/>
        <w:jc w:val="both"/>
      </w:pPr>
      <w:r w:rsidRPr="00AC10C7">
        <w:t>As at June 2019 more than 48,000 invoices totalling £63.5 million were being managed through Oracle and, of these, 24,600 invoices worth £17 million (almost 27% by value and more than 51% by number) had been outstanding for over a year. The corporate debt position has been previously been reported to councillors in the quarterly corporate performance report to the Cabinet Committee for Performance Improvement, but the last report was for the second quarter of 2017/18 in December 2017.</w:t>
      </w:r>
    </w:p>
    <w:p w:rsidR="003878C9" w:rsidRPr="00AC10C7" w:rsidRDefault="00CB66BC" w:rsidP="00CB66BC">
      <w:pPr>
        <w:pStyle w:val="Rparagraph"/>
        <w:ind w:left="567" w:hanging="567"/>
        <w:jc w:val="both"/>
      </w:pPr>
      <w:r w:rsidRPr="00AC10C7">
        <w:t xml:space="preserve">At this point though, appropriate action is being taken to resolve </w:t>
      </w:r>
      <w:r>
        <w:t xml:space="preserve">the </w:t>
      </w:r>
      <w:r w:rsidRPr="00AC10C7">
        <w:t>high level of outstanding debt.</w:t>
      </w:r>
      <w:r>
        <w:t xml:space="preserve"> </w:t>
      </w:r>
      <w:r w:rsidRPr="00AC10C7">
        <w:t>The backlog is being assessed by officers whose work has been redirected to determine the appropriate course of action for each case. High value debt is being prioritised and action to pursue low priority debt has been deferred.</w:t>
      </w:r>
    </w:p>
    <w:p w:rsidR="00F66EA0" w:rsidRPr="00F66EA0" w:rsidRDefault="00CB66BC" w:rsidP="00CB66BC">
      <w:pPr>
        <w:tabs>
          <w:tab w:val="num" w:pos="567"/>
          <w:tab w:val="right" w:pos="9072"/>
        </w:tabs>
        <w:spacing w:before="120" w:after="120" w:line="240" w:lineRule="auto"/>
        <w:ind w:left="567"/>
        <w:jc w:val="both"/>
        <w:rPr>
          <w:rFonts w:ascii="Arial" w:hAnsi="Arial" w:cs="Arial"/>
          <w:b/>
          <w:sz w:val="24"/>
          <w:szCs w:val="24"/>
          <w:lang w:eastAsia="en-GB"/>
        </w:rPr>
      </w:pPr>
      <w:r w:rsidRPr="00F66EA0">
        <w:rPr>
          <w:rFonts w:ascii="Arial" w:hAnsi="Arial" w:cs="Arial"/>
          <w:b/>
          <w:sz w:val="24"/>
          <w:szCs w:val="24"/>
          <w:lang w:eastAsia="en-GB"/>
        </w:rPr>
        <w:t>Data Security Protection Toolkit Review</w:t>
      </w:r>
      <w:r w:rsidRPr="00F66EA0">
        <w:rPr>
          <w:rFonts w:ascii="Arial" w:hAnsi="Arial" w:cs="Arial"/>
          <w:sz w:val="24"/>
          <w:szCs w:val="24"/>
          <w:lang w:eastAsia="en-GB"/>
        </w:rPr>
        <w:tab/>
        <w:t>(Moderate assurance)</w:t>
      </w:r>
    </w:p>
    <w:p w:rsidR="00A66CDB" w:rsidRDefault="00CB66BC" w:rsidP="00CB66BC">
      <w:pPr>
        <w:pStyle w:val="Rparagraph"/>
        <w:ind w:left="567" w:hanging="567"/>
        <w:jc w:val="both"/>
      </w:pPr>
      <w:r w:rsidRPr="00A66CDB">
        <w:t>As a provider of children’s and adults’ social care the council must submit a self-assessment return to NHS Digital annually via the NHS Data Security Protection (DSP) toolkit. As part of its working arrangements BTLS provides some of the answers and supporting evidence for this return.</w:t>
      </w:r>
    </w:p>
    <w:p w:rsidR="00CC6E16" w:rsidRPr="00B372E0" w:rsidRDefault="00CC6E16" w:rsidP="00CC6E16">
      <w:pPr>
        <w:pStyle w:val="Rheading"/>
        <w:numPr>
          <w:ilvl w:val="0"/>
          <w:numId w:val="0"/>
        </w:numPr>
        <w:ind w:left="567" w:hanging="567"/>
      </w:pPr>
      <w:bookmarkStart w:id="0" w:name="_GoBack"/>
      <w:bookmarkEnd w:id="0"/>
    </w:p>
    <w:p w:rsidR="00A66CDB" w:rsidRPr="00A66CDB" w:rsidRDefault="00CB66BC" w:rsidP="00CB66BC">
      <w:pPr>
        <w:pStyle w:val="Rparagraph"/>
        <w:ind w:left="567" w:hanging="567"/>
        <w:jc w:val="both"/>
      </w:pPr>
      <w:r w:rsidRPr="00A66CDB">
        <w:t>An adequate framework for information governance and specifically for submission of the DSP toolkit has been implemented. However as noted above</w:t>
      </w:r>
      <w:r>
        <w:t xml:space="preserve"> in </w:t>
      </w:r>
      <w:r w:rsidRPr="00492EA5">
        <w:t xml:space="preserve">paragraphs 1.65-1.67, there </w:t>
      </w:r>
      <w:r w:rsidRPr="00A66CDB">
        <w:t xml:space="preserve">are some issues relating to the council's control of user access to LiquidLogic's systems. Controls are in place to ensure unused accounts are deactivated, but no assessment of current user accounts and their assigned privileges has been undertaken </w:t>
      </w:r>
      <w:r>
        <w:t xml:space="preserve">by the council </w:t>
      </w:r>
      <w:r w:rsidRPr="00A66CDB">
        <w:t>on either LCS or LAS in the last twelve months</w:t>
      </w:r>
      <w:r>
        <w:t xml:space="preserve"> as required by the toolkit</w:t>
      </w:r>
      <w:r w:rsidRPr="00A66CDB">
        <w:t>.</w:t>
      </w:r>
    </w:p>
    <w:p w:rsidR="00A66CDB" w:rsidRPr="00A66CDB" w:rsidRDefault="00CB66BC" w:rsidP="00CB66BC">
      <w:pPr>
        <w:pStyle w:val="Rparagraph"/>
        <w:ind w:left="567" w:hanging="567"/>
        <w:jc w:val="both"/>
      </w:pPr>
      <w:r w:rsidRPr="00A66CDB">
        <w:t>Appropriate technical controls are in place and operated by BTLS. However it is recognised that these need to be formalised, and they will be documented as BTLS prepares for ISO certification. It is not clear that there are adequate mechanisms to share findings of technical risk assessments between BTLS and appropriate council teams such as Information Governance, for example in relation to the decision to allow members of the public the facility to use single sign-on for Wi-Fi.</w:t>
      </w:r>
    </w:p>
    <w:p w:rsidR="00272B4D" w:rsidRPr="00272B4D" w:rsidRDefault="00CB66BC" w:rsidP="00CB66BC">
      <w:pPr>
        <w:tabs>
          <w:tab w:val="num" w:pos="567"/>
          <w:tab w:val="right" w:pos="9072"/>
        </w:tabs>
        <w:spacing w:before="120" w:after="120" w:line="240" w:lineRule="auto"/>
        <w:ind w:left="567"/>
        <w:jc w:val="both"/>
        <w:rPr>
          <w:rFonts w:ascii="Arial" w:hAnsi="Arial" w:cs="Arial"/>
          <w:b/>
          <w:sz w:val="24"/>
          <w:szCs w:val="24"/>
          <w:lang w:eastAsia="en-GB"/>
        </w:rPr>
      </w:pPr>
      <w:r w:rsidRPr="00272B4D">
        <w:rPr>
          <w:rFonts w:ascii="Arial" w:hAnsi="Arial" w:cs="Arial"/>
          <w:b/>
          <w:sz w:val="24"/>
          <w:szCs w:val="24"/>
          <w:lang w:eastAsia="en-GB"/>
        </w:rPr>
        <w:t>IT asset management</w:t>
      </w:r>
      <w:r w:rsidRPr="00272B4D">
        <w:rPr>
          <w:rFonts w:ascii="Arial" w:hAnsi="Arial" w:cs="Arial"/>
          <w:sz w:val="24"/>
          <w:szCs w:val="24"/>
          <w:lang w:eastAsia="en-GB"/>
        </w:rPr>
        <w:tab/>
        <w:t>(Limited assurance)</w:t>
      </w:r>
    </w:p>
    <w:p w:rsidR="00272B4D" w:rsidRPr="00272B4D" w:rsidRDefault="00CB66BC" w:rsidP="00CB66BC">
      <w:pPr>
        <w:pStyle w:val="Rparagraph"/>
        <w:ind w:left="567" w:hanging="567"/>
        <w:jc w:val="both"/>
      </w:pPr>
      <w:r>
        <w:t>R</w:t>
      </w:r>
      <w:r w:rsidRPr="00272B4D">
        <w:t xml:space="preserve">obust arrangements </w:t>
      </w:r>
      <w:r>
        <w:t xml:space="preserve">are </w:t>
      </w:r>
      <w:r w:rsidRPr="00272B4D">
        <w:t xml:space="preserve">in place for the receipt, secure storage and disposal corporately of the council's desktops and laptops. Physical access to them is appropriately restricted to a degree depending on whether the assets are new, </w:t>
      </w:r>
      <w:r w:rsidRPr="00272B4D">
        <w:lastRenderedPageBreak/>
        <w:t>recyclable or to be disposed of. However the ability to monitor them is limited because neither the council nor BTLS holds adequate information on their custodianship or location.</w:t>
      </w:r>
    </w:p>
    <w:p w:rsidR="00272B4D" w:rsidRPr="00272B4D" w:rsidRDefault="00CB66BC" w:rsidP="00CB66BC">
      <w:pPr>
        <w:pStyle w:val="Rparagraph"/>
        <w:ind w:left="567" w:hanging="567"/>
        <w:jc w:val="both"/>
      </w:pPr>
      <w:r w:rsidRPr="00272B4D">
        <w:t>The secure configuration of desktops and laptops allocated to individuals, combined with the unique Active Directory (AD) user name and password means that data on any device cannot be accessed by anyone other than the device's legitimate user. The deployment of software is well managed and the risk of unlicensed or unpatched software being utilised on the council’s network is therefore significantly reduced.</w:t>
      </w:r>
    </w:p>
    <w:p w:rsidR="00126B61" w:rsidRPr="009047B0" w:rsidRDefault="00CB66BC" w:rsidP="00CB66BC">
      <w:pPr>
        <w:pStyle w:val="Rparagraph"/>
        <w:ind w:left="567" w:hanging="567"/>
        <w:jc w:val="both"/>
      </w:pPr>
      <w:r w:rsidRPr="00272B4D">
        <w:t>However the council lacks a number of key policies which are fundamental to the overall provision and management of IT assets. These include the approval and deployment of a digital strategy, IT asset lifecycle policy, agile working and a single device policy, which are all in various stages of development but not yet formally adopted and implemented. The council cannot therefore fully realise the potential benefits in terms of different ways of working and in supporting its plans to rationalise its accommodation.</w:t>
      </w:r>
    </w:p>
    <w:sectPr w:rsidR="00126B61" w:rsidRPr="009047B0" w:rsidSect="00F04D33">
      <w:headerReference w:type="default" r:id="rId9"/>
      <w:footerReference w:type="even" r:id="rId10"/>
      <w:pgSz w:w="11906" w:h="16838"/>
      <w:pgMar w:top="1560" w:right="1416"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787" w:rsidRDefault="00CB66BC">
      <w:pPr>
        <w:spacing w:line="240" w:lineRule="auto"/>
      </w:pPr>
      <w:r>
        <w:separator/>
      </w:r>
    </w:p>
  </w:endnote>
  <w:endnote w:type="continuationSeparator" w:id="0">
    <w:p w:rsidR="007F3787" w:rsidRDefault="00CB66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3BA" w:rsidRDefault="00CB6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53BA" w:rsidRDefault="00CC6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787" w:rsidRDefault="00CB66BC">
      <w:pPr>
        <w:spacing w:line="240" w:lineRule="auto"/>
      </w:pPr>
      <w:r>
        <w:separator/>
      </w:r>
    </w:p>
  </w:footnote>
  <w:footnote w:type="continuationSeparator" w:id="0">
    <w:p w:rsidR="007F3787" w:rsidRDefault="00CB66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3BA" w:rsidRPr="00791F5B" w:rsidRDefault="00CB66BC" w:rsidP="00F04D33">
    <w:pPr>
      <w:spacing w:before="120" w:after="120" w:line="240" w:lineRule="auto"/>
      <w:rPr>
        <w:rFonts w:ascii="Arial" w:hAnsi="Arial" w:cs="Arial"/>
        <w:b/>
        <w:sz w:val="24"/>
        <w:szCs w:val="24"/>
      </w:rPr>
    </w:pPr>
    <w:r w:rsidRPr="00791F5B">
      <w:rPr>
        <w:rFonts w:ascii="Arial" w:hAnsi="Arial" w:cs="Arial"/>
        <w:b/>
        <w:sz w:val="24"/>
        <w:szCs w:val="24"/>
      </w:rPr>
      <w:t xml:space="preserve">Matters arising from internal audit work </w:t>
    </w:r>
    <w:r>
      <w:rPr>
        <w:rFonts w:ascii="Arial" w:hAnsi="Arial" w:cs="Arial"/>
        <w:b/>
        <w:sz w:val="24"/>
        <w:szCs w:val="24"/>
      </w:rPr>
      <w:t xml:space="preserve">for 2018/19 </w:t>
    </w:r>
    <w:r w:rsidRPr="00791F5B">
      <w:rPr>
        <w:rFonts w:ascii="Arial" w:hAnsi="Arial" w:cs="Arial"/>
        <w:b/>
        <w:sz w:val="24"/>
        <w:szCs w:val="24"/>
      </w:rPr>
      <w:t xml:space="preserve">completed </w:t>
    </w:r>
    <w:r>
      <w:rPr>
        <w:rFonts w:ascii="Arial" w:hAnsi="Arial" w:cs="Arial"/>
        <w:b/>
        <w:sz w:val="24"/>
        <w:szCs w:val="24"/>
      </w:rPr>
      <w:t xml:space="preserve">after 1 May </w:t>
    </w:r>
    <w:r w:rsidRPr="00791F5B">
      <w:rPr>
        <w:rFonts w:ascii="Arial" w:hAnsi="Arial" w:cs="Arial"/>
        <w:b/>
        <w:sz w:val="24"/>
        <w:szCs w:val="24"/>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C26108"/>
    <w:lvl w:ilvl="0">
      <w:start w:val="1"/>
      <w:numFmt w:val="decimal"/>
      <w:pStyle w:val="ListNumber"/>
      <w:lvlText w:val="%1."/>
      <w:lvlJc w:val="left"/>
      <w:pPr>
        <w:tabs>
          <w:tab w:val="num" w:pos="360"/>
        </w:tabs>
        <w:ind w:left="360" w:hanging="360"/>
      </w:pPr>
    </w:lvl>
  </w:abstractNum>
  <w:abstractNum w:abstractNumId="1" w15:restartNumberingAfterBreak="0">
    <w:nsid w:val="00671E32"/>
    <w:multiLevelType w:val="multilevel"/>
    <w:tmpl w:val="53821ECA"/>
    <w:styleLink w:val="Ruth-numberedparagraphoutline"/>
    <w:lvl w:ilvl="0">
      <w:start w:val="1"/>
      <w:numFmt w:val="decimal"/>
      <w:lvlText w:val="%1."/>
      <w:lvlJc w:val="left"/>
      <w:pPr>
        <w:ind w:left="360" w:hanging="360"/>
      </w:pPr>
      <w:rPr>
        <w:rFonts w:asciiTheme="minorHAnsi" w:hAnsiTheme="minorHAns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9DC4E83"/>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0566A1"/>
    <w:multiLevelType w:val="multilevel"/>
    <w:tmpl w:val="0809001F"/>
    <w:styleLink w:val="Ruth-numberedheading"/>
    <w:lvl w:ilvl="0">
      <w:start w:val="1"/>
      <w:numFmt w:val="decimal"/>
      <w:lvlText w:val="%1."/>
      <w:lvlJc w:val="left"/>
      <w:pPr>
        <w:ind w:left="360" w:hanging="360"/>
      </w:pPr>
      <w:rPr>
        <w:rFonts w:ascii="Arial" w:hAnsi="Arial"/>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2A1A9B"/>
    <w:multiLevelType w:val="singleLevel"/>
    <w:tmpl w:val="7D02350E"/>
    <w:lvl w:ilvl="0">
      <w:start w:val="1"/>
      <w:numFmt w:val="decimal"/>
      <w:pStyle w:val="Ruth-numberedparagraph"/>
      <w:lvlText w:val="%1."/>
      <w:lvlJc w:val="left"/>
      <w:pPr>
        <w:ind w:left="360" w:hanging="36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3EB58E9"/>
    <w:multiLevelType w:val="hybridMultilevel"/>
    <w:tmpl w:val="D0A85866"/>
    <w:lvl w:ilvl="0" w:tplc="3260E4C0">
      <w:start w:val="1"/>
      <w:numFmt w:val="bullet"/>
      <w:pStyle w:val="R6sub-bullet"/>
      <w:lvlText w:val="˗"/>
      <w:lvlJc w:val="left"/>
      <w:pPr>
        <w:ind w:left="2083" w:hanging="360"/>
      </w:pPr>
      <w:rPr>
        <w:rFonts w:ascii="Arial" w:hAnsi="Arial" w:hint="default"/>
      </w:rPr>
    </w:lvl>
    <w:lvl w:ilvl="1" w:tplc="58702B88" w:tentative="1">
      <w:start w:val="1"/>
      <w:numFmt w:val="bullet"/>
      <w:lvlText w:val="o"/>
      <w:lvlJc w:val="left"/>
      <w:pPr>
        <w:ind w:left="2803" w:hanging="360"/>
      </w:pPr>
      <w:rPr>
        <w:rFonts w:ascii="Courier New" w:hAnsi="Courier New" w:cs="Courier New" w:hint="default"/>
      </w:rPr>
    </w:lvl>
    <w:lvl w:ilvl="2" w:tplc="6494E85A" w:tentative="1">
      <w:start w:val="1"/>
      <w:numFmt w:val="bullet"/>
      <w:lvlText w:val=""/>
      <w:lvlJc w:val="left"/>
      <w:pPr>
        <w:ind w:left="3523" w:hanging="360"/>
      </w:pPr>
      <w:rPr>
        <w:rFonts w:ascii="Wingdings" w:hAnsi="Wingdings" w:hint="default"/>
      </w:rPr>
    </w:lvl>
    <w:lvl w:ilvl="3" w:tplc="5710846A" w:tentative="1">
      <w:start w:val="1"/>
      <w:numFmt w:val="bullet"/>
      <w:lvlText w:val=""/>
      <w:lvlJc w:val="left"/>
      <w:pPr>
        <w:ind w:left="4243" w:hanging="360"/>
      </w:pPr>
      <w:rPr>
        <w:rFonts w:ascii="Symbol" w:hAnsi="Symbol" w:hint="default"/>
      </w:rPr>
    </w:lvl>
    <w:lvl w:ilvl="4" w:tplc="7EF0267E" w:tentative="1">
      <w:start w:val="1"/>
      <w:numFmt w:val="bullet"/>
      <w:lvlText w:val="o"/>
      <w:lvlJc w:val="left"/>
      <w:pPr>
        <w:ind w:left="4963" w:hanging="360"/>
      </w:pPr>
      <w:rPr>
        <w:rFonts w:ascii="Courier New" w:hAnsi="Courier New" w:cs="Courier New" w:hint="default"/>
      </w:rPr>
    </w:lvl>
    <w:lvl w:ilvl="5" w:tplc="024EA444" w:tentative="1">
      <w:start w:val="1"/>
      <w:numFmt w:val="bullet"/>
      <w:lvlText w:val=""/>
      <w:lvlJc w:val="left"/>
      <w:pPr>
        <w:ind w:left="5683" w:hanging="360"/>
      </w:pPr>
      <w:rPr>
        <w:rFonts w:ascii="Wingdings" w:hAnsi="Wingdings" w:hint="default"/>
      </w:rPr>
    </w:lvl>
    <w:lvl w:ilvl="6" w:tplc="6E3C8BF8" w:tentative="1">
      <w:start w:val="1"/>
      <w:numFmt w:val="bullet"/>
      <w:lvlText w:val=""/>
      <w:lvlJc w:val="left"/>
      <w:pPr>
        <w:ind w:left="6403" w:hanging="360"/>
      </w:pPr>
      <w:rPr>
        <w:rFonts w:ascii="Symbol" w:hAnsi="Symbol" w:hint="default"/>
      </w:rPr>
    </w:lvl>
    <w:lvl w:ilvl="7" w:tplc="51EEAC80" w:tentative="1">
      <w:start w:val="1"/>
      <w:numFmt w:val="bullet"/>
      <w:lvlText w:val="o"/>
      <w:lvlJc w:val="left"/>
      <w:pPr>
        <w:ind w:left="7123" w:hanging="360"/>
      </w:pPr>
      <w:rPr>
        <w:rFonts w:ascii="Courier New" w:hAnsi="Courier New" w:cs="Courier New" w:hint="default"/>
      </w:rPr>
    </w:lvl>
    <w:lvl w:ilvl="8" w:tplc="4142DED8" w:tentative="1">
      <w:start w:val="1"/>
      <w:numFmt w:val="bullet"/>
      <w:lvlText w:val=""/>
      <w:lvlJc w:val="left"/>
      <w:pPr>
        <w:ind w:left="7843" w:hanging="360"/>
      </w:pPr>
      <w:rPr>
        <w:rFonts w:ascii="Wingdings" w:hAnsi="Wingdings" w:hint="default"/>
      </w:rPr>
    </w:lvl>
  </w:abstractNum>
  <w:abstractNum w:abstractNumId="6" w15:restartNumberingAfterBreak="0">
    <w:nsid w:val="47C75BDA"/>
    <w:multiLevelType w:val="hybridMultilevel"/>
    <w:tmpl w:val="8B1E8F12"/>
    <w:lvl w:ilvl="0" w:tplc="6EA40734">
      <w:start w:val="1"/>
      <w:numFmt w:val="bullet"/>
      <w:pStyle w:val="R5bullet"/>
      <w:lvlText w:val=""/>
      <w:lvlJc w:val="left"/>
      <w:pPr>
        <w:ind w:left="1440" w:hanging="360"/>
      </w:pPr>
      <w:rPr>
        <w:rFonts w:ascii="Symbol" w:hAnsi="Symbol" w:hint="default"/>
      </w:rPr>
    </w:lvl>
    <w:lvl w:ilvl="1" w:tplc="99F60D14" w:tentative="1">
      <w:start w:val="1"/>
      <w:numFmt w:val="bullet"/>
      <w:lvlText w:val="o"/>
      <w:lvlJc w:val="left"/>
      <w:pPr>
        <w:ind w:left="2160" w:hanging="360"/>
      </w:pPr>
      <w:rPr>
        <w:rFonts w:ascii="Courier New" w:hAnsi="Courier New" w:cs="Courier New" w:hint="default"/>
      </w:rPr>
    </w:lvl>
    <w:lvl w:ilvl="2" w:tplc="0CAA4A46" w:tentative="1">
      <w:start w:val="1"/>
      <w:numFmt w:val="bullet"/>
      <w:lvlText w:val=""/>
      <w:lvlJc w:val="left"/>
      <w:pPr>
        <w:ind w:left="2880" w:hanging="360"/>
      </w:pPr>
      <w:rPr>
        <w:rFonts w:ascii="Wingdings" w:hAnsi="Wingdings" w:hint="default"/>
      </w:rPr>
    </w:lvl>
    <w:lvl w:ilvl="3" w:tplc="C93A5D32" w:tentative="1">
      <w:start w:val="1"/>
      <w:numFmt w:val="bullet"/>
      <w:lvlText w:val=""/>
      <w:lvlJc w:val="left"/>
      <w:pPr>
        <w:ind w:left="3600" w:hanging="360"/>
      </w:pPr>
      <w:rPr>
        <w:rFonts w:ascii="Symbol" w:hAnsi="Symbol" w:hint="default"/>
      </w:rPr>
    </w:lvl>
    <w:lvl w:ilvl="4" w:tplc="B96E367A" w:tentative="1">
      <w:start w:val="1"/>
      <w:numFmt w:val="bullet"/>
      <w:lvlText w:val="o"/>
      <w:lvlJc w:val="left"/>
      <w:pPr>
        <w:ind w:left="4320" w:hanging="360"/>
      </w:pPr>
      <w:rPr>
        <w:rFonts w:ascii="Courier New" w:hAnsi="Courier New" w:cs="Courier New" w:hint="default"/>
      </w:rPr>
    </w:lvl>
    <w:lvl w:ilvl="5" w:tplc="34505710" w:tentative="1">
      <w:start w:val="1"/>
      <w:numFmt w:val="bullet"/>
      <w:lvlText w:val=""/>
      <w:lvlJc w:val="left"/>
      <w:pPr>
        <w:ind w:left="5040" w:hanging="360"/>
      </w:pPr>
      <w:rPr>
        <w:rFonts w:ascii="Wingdings" w:hAnsi="Wingdings" w:hint="default"/>
      </w:rPr>
    </w:lvl>
    <w:lvl w:ilvl="6" w:tplc="937C747C" w:tentative="1">
      <w:start w:val="1"/>
      <w:numFmt w:val="bullet"/>
      <w:lvlText w:val=""/>
      <w:lvlJc w:val="left"/>
      <w:pPr>
        <w:ind w:left="5760" w:hanging="360"/>
      </w:pPr>
      <w:rPr>
        <w:rFonts w:ascii="Symbol" w:hAnsi="Symbol" w:hint="default"/>
      </w:rPr>
    </w:lvl>
    <w:lvl w:ilvl="7" w:tplc="23168734" w:tentative="1">
      <w:start w:val="1"/>
      <w:numFmt w:val="bullet"/>
      <w:lvlText w:val="o"/>
      <w:lvlJc w:val="left"/>
      <w:pPr>
        <w:ind w:left="6480" w:hanging="360"/>
      </w:pPr>
      <w:rPr>
        <w:rFonts w:ascii="Courier New" w:hAnsi="Courier New" w:cs="Courier New" w:hint="default"/>
      </w:rPr>
    </w:lvl>
    <w:lvl w:ilvl="8" w:tplc="5D9A61BE" w:tentative="1">
      <w:start w:val="1"/>
      <w:numFmt w:val="bullet"/>
      <w:lvlText w:val=""/>
      <w:lvlJc w:val="left"/>
      <w:pPr>
        <w:ind w:left="7200" w:hanging="360"/>
      </w:pPr>
      <w:rPr>
        <w:rFonts w:ascii="Wingdings" w:hAnsi="Wingdings" w:hint="default"/>
      </w:rPr>
    </w:lvl>
  </w:abstractNum>
  <w:abstractNum w:abstractNumId="7" w15:restartNumberingAfterBreak="0">
    <w:nsid w:val="69536897"/>
    <w:multiLevelType w:val="multilevel"/>
    <w:tmpl w:val="F84630B8"/>
    <w:lvl w:ilvl="0">
      <w:start w:val="1"/>
      <w:numFmt w:val="decimal"/>
      <w:pStyle w:val="Rheading"/>
      <w:lvlText w:val="%1"/>
      <w:lvlJc w:val="left"/>
      <w:pPr>
        <w:ind w:left="567" w:hanging="567"/>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Rparagraph"/>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pStyle w:val="Rthirdlevelparagraph"/>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0B21F8D"/>
    <w:multiLevelType w:val="multilevel"/>
    <w:tmpl w:val="E7FC5986"/>
    <w:lvl w:ilvl="0">
      <w:start w:val="1"/>
      <w:numFmt w:val="decimal"/>
      <w:pStyle w:val="Ruthsnumberedheading"/>
      <w:lvlText w:val="%1."/>
      <w:lvlJc w:val="left"/>
      <w:pPr>
        <w:ind w:left="720" w:hanging="72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uthsparagraph"/>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8"/>
  </w:num>
  <w:num w:numId="2">
    <w:abstractNumId w:val="1"/>
  </w:num>
  <w:num w:numId="3">
    <w:abstractNumId w:val="3"/>
  </w:num>
  <w:num w:numId="4">
    <w:abstractNumId w:val="4"/>
  </w:num>
  <w:num w:numId="5">
    <w:abstractNumId w:val="7"/>
  </w:num>
  <w:num w:numId="6">
    <w:abstractNumId w:val="0"/>
  </w:num>
  <w:num w:numId="7">
    <w:abstractNumId w:val="5"/>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num>
  <w:num w:numId="12">
    <w:abstractNumId w:val="7"/>
  </w:num>
  <w:num w:numId="13">
    <w:abstractNumId w:val="7"/>
  </w:num>
  <w:num w:numId="14">
    <w:abstractNumId w:val="2"/>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46"/>
    <w:rsid w:val="003037D0"/>
    <w:rsid w:val="004D0D46"/>
    <w:rsid w:val="005622F3"/>
    <w:rsid w:val="007F3787"/>
    <w:rsid w:val="00873FAB"/>
    <w:rsid w:val="00CB66BC"/>
    <w:rsid w:val="00CC6E16"/>
    <w:rsid w:val="00EB2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2431F"/>
  <w15:docId w15:val="{47A05D57-F6F6-4E9F-87B3-F2245C9A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7B1"/>
    <w:pPr>
      <w:spacing w:line="260" w:lineRule="atLeast"/>
    </w:pPr>
    <w:rPr>
      <w:sz w:val="20"/>
      <w:szCs w:val="20"/>
      <w:lang w:eastAsia="en-US"/>
    </w:rPr>
  </w:style>
  <w:style w:type="paragraph" w:styleId="Heading1">
    <w:name w:val="heading 1"/>
    <w:basedOn w:val="Normal"/>
    <w:next w:val="Normal"/>
    <w:link w:val="Heading1Char"/>
    <w:qFormat/>
    <w:locked/>
    <w:rsid w:val="00AD41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locked/>
    <w:rsid w:val="00414763"/>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BodyText"/>
    <w:link w:val="Heading7Char"/>
    <w:uiPriority w:val="99"/>
    <w:qFormat/>
    <w:rsid w:val="00684C8B"/>
    <w:pPr>
      <w:spacing w:before="240" w:after="60" w:line="240" w:lineRule="auto"/>
      <w:outlineLvl w:val="6"/>
    </w:pPr>
    <w:rPr>
      <w:rFonts w:ascii="Calibri" w:hAnsi="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684C8B"/>
    <w:rPr>
      <w:rFonts w:ascii="Calibri" w:hAnsi="Calibri" w:cs="Times New Roman"/>
      <w:sz w:val="24"/>
      <w:szCs w:val="24"/>
    </w:rPr>
  </w:style>
  <w:style w:type="paragraph" w:styleId="Header">
    <w:name w:val="header"/>
    <w:basedOn w:val="Normal"/>
    <w:link w:val="HeaderChar"/>
    <w:rsid w:val="007F77B1"/>
    <w:pPr>
      <w:tabs>
        <w:tab w:val="center" w:pos="4153"/>
        <w:tab w:val="right" w:pos="8306"/>
      </w:tabs>
    </w:pPr>
  </w:style>
  <w:style w:type="character" w:customStyle="1" w:styleId="HeaderChar">
    <w:name w:val="Header Char"/>
    <w:basedOn w:val="DefaultParagraphFont"/>
    <w:link w:val="Header"/>
    <w:locked/>
    <w:rsid w:val="005E1DBC"/>
    <w:rPr>
      <w:rFonts w:cs="Times New Roman"/>
      <w:sz w:val="20"/>
      <w:szCs w:val="20"/>
      <w:lang w:eastAsia="en-US"/>
    </w:rPr>
  </w:style>
  <w:style w:type="paragraph" w:styleId="Footer">
    <w:name w:val="footer"/>
    <w:basedOn w:val="Normal"/>
    <w:link w:val="FooterChar"/>
    <w:uiPriority w:val="99"/>
    <w:rsid w:val="007F77B1"/>
    <w:pPr>
      <w:tabs>
        <w:tab w:val="center" w:pos="4153"/>
        <w:tab w:val="right" w:pos="8306"/>
      </w:tabs>
    </w:pPr>
  </w:style>
  <w:style w:type="character" w:customStyle="1" w:styleId="FooterChar">
    <w:name w:val="Footer Char"/>
    <w:basedOn w:val="DefaultParagraphFont"/>
    <w:link w:val="Footer"/>
    <w:uiPriority w:val="99"/>
    <w:semiHidden/>
    <w:locked/>
    <w:rsid w:val="005E1DBC"/>
    <w:rPr>
      <w:rFonts w:cs="Times New Roman"/>
      <w:sz w:val="20"/>
      <w:szCs w:val="20"/>
      <w:lang w:eastAsia="en-US"/>
    </w:rPr>
  </w:style>
  <w:style w:type="character" w:styleId="PageNumber">
    <w:name w:val="page number"/>
    <w:basedOn w:val="DefaultParagraphFont"/>
    <w:uiPriority w:val="99"/>
    <w:rsid w:val="007F77B1"/>
    <w:rPr>
      <w:rFonts w:cs="Times New Roman"/>
    </w:rPr>
  </w:style>
  <w:style w:type="paragraph" w:styleId="ListParagraph">
    <w:name w:val="List Paragraph"/>
    <w:basedOn w:val="Normal"/>
    <w:link w:val="ListParagraphChar"/>
    <w:uiPriority w:val="34"/>
    <w:qFormat/>
    <w:rsid w:val="00067D93"/>
    <w:pPr>
      <w:ind w:left="720"/>
    </w:pPr>
  </w:style>
  <w:style w:type="paragraph" w:styleId="BalloonText">
    <w:name w:val="Balloon Text"/>
    <w:basedOn w:val="Normal"/>
    <w:link w:val="BalloonTextChar"/>
    <w:uiPriority w:val="99"/>
    <w:semiHidden/>
    <w:rsid w:val="00E51D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1D7C"/>
    <w:rPr>
      <w:rFonts w:ascii="Tahoma" w:hAnsi="Tahoma" w:cs="Tahoma"/>
      <w:sz w:val="16"/>
      <w:szCs w:val="16"/>
      <w:lang w:eastAsia="en-US"/>
    </w:rPr>
  </w:style>
  <w:style w:type="paragraph" w:styleId="BodyText">
    <w:name w:val="Body Text"/>
    <w:basedOn w:val="Normal"/>
    <w:link w:val="BodyTextChar"/>
    <w:uiPriority w:val="99"/>
    <w:rsid w:val="00874DD5"/>
    <w:pPr>
      <w:spacing w:before="60" w:after="260" w:line="240" w:lineRule="auto"/>
    </w:pPr>
    <w:rPr>
      <w:rFonts w:ascii="Arial" w:hAnsi="Arial"/>
      <w:sz w:val="24"/>
      <w:szCs w:val="24"/>
      <w:lang w:eastAsia="en-GB"/>
    </w:rPr>
  </w:style>
  <w:style w:type="character" w:customStyle="1" w:styleId="BodyTextChar">
    <w:name w:val="Body Text Char"/>
    <w:basedOn w:val="DefaultParagraphFont"/>
    <w:link w:val="BodyText"/>
    <w:uiPriority w:val="99"/>
    <w:locked/>
    <w:rsid w:val="00874DD5"/>
    <w:rPr>
      <w:rFonts w:ascii="Arial" w:hAnsi="Arial" w:cs="Times New Roman"/>
      <w:sz w:val="24"/>
      <w:szCs w:val="24"/>
    </w:rPr>
  </w:style>
  <w:style w:type="paragraph" w:customStyle="1" w:styleId="Ruth-bullet">
    <w:name w:val="Ruth - bullet"/>
    <w:basedOn w:val="ListParagraph"/>
    <w:link w:val="Ruth-bulletChar"/>
    <w:uiPriority w:val="99"/>
    <w:rsid w:val="00856E2E"/>
    <w:pPr>
      <w:spacing w:before="120" w:after="120" w:line="240" w:lineRule="auto"/>
      <w:ind w:hanging="360"/>
    </w:pPr>
    <w:rPr>
      <w:rFonts w:ascii="Calibri" w:hAnsi="Calibri"/>
      <w:sz w:val="24"/>
      <w:szCs w:val="24"/>
      <w:lang w:eastAsia="en-GB"/>
    </w:rPr>
  </w:style>
  <w:style w:type="character" w:customStyle="1" w:styleId="Ruth-bulletChar">
    <w:name w:val="Ruth - bullet Char"/>
    <w:basedOn w:val="DefaultParagraphFont"/>
    <w:link w:val="Ruth-bullet"/>
    <w:uiPriority w:val="99"/>
    <w:locked/>
    <w:rsid w:val="00856E2E"/>
    <w:rPr>
      <w:rFonts w:ascii="Calibri" w:hAnsi="Calibri" w:cs="Times New Roman"/>
      <w:sz w:val="24"/>
      <w:szCs w:val="24"/>
    </w:rPr>
  </w:style>
  <w:style w:type="paragraph" w:customStyle="1" w:styleId="Ruthsbulletpoint">
    <w:name w:val="Ruth's bullet point"/>
    <w:basedOn w:val="Normal"/>
    <w:link w:val="RuthsbulletpointChar"/>
    <w:uiPriority w:val="99"/>
    <w:rsid w:val="00684C8B"/>
    <w:pPr>
      <w:spacing w:before="120" w:after="120" w:line="240" w:lineRule="auto"/>
      <w:ind w:left="720" w:hanging="360"/>
    </w:pPr>
    <w:rPr>
      <w:rFonts w:ascii="Arial" w:hAnsi="Arial"/>
      <w:sz w:val="24"/>
      <w:szCs w:val="24"/>
      <w:lang w:eastAsia="en-GB"/>
    </w:rPr>
  </w:style>
  <w:style w:type="character" w:customStyle="1" w:styleId="RuthsbulletpointChar">
    <w:name w:val="Ruth's bullet point Char"/>
    <w:basedOn w:val="DefaultParagraphFont"/>
    <w:link w:val="Ruthsbulletpoint"/>
    <w:uiPriority w:val="99"/>
    <w:locked/>
    <w:rsid w:val="00684C8B"/>
    <w:rPr>
      <w:rFonts w:ascii="Arial" w:hAnsi="Arial" w:cs="Times New Roman"/>
      <w:sz w:val="24"/>
      <w:szCs w:val="24"/>
    </w:rPr>
  </w:style>
  <w:style w:type="character" w:styleId="CommentReference">
    <w:name w:val="annotation reference"/>
    <w:basedOn w:val="DefaultParagraphFont"/>
    <w:uiPriority w:val="99"/>
    <w:semiHidden/>
    <w:rsid w:val="0074730A"/>
    <w:rPr>
      <w:rFonts w:cs="Times New Roman"/>
      <w:sz w:val="16"/>
      <w:szCs w:val="16"/>
    </w:rPr>
  </w:style>
  <w:style w:type="paragraph" w:styleId="CommentText">
    <w:name w:val="annotation text"/>
    <w:basedOn w:val="Normal"/>
    <w:link w:val="CommentTextChar"/>
    <w:uiPriority w:val="99"/>
    <w:semiHidden/>
    <w:rsid w:val="0074730A"/>
    <w:pPr>
      <w:spacing w:line="240" w:lineRule="auto"/>
    </w:pPr>
  </w:style>
  <w:style w:type="character" w:customStyle="1" w:styleId="CommentTextChar">
    <w:name w:val="Comment Text Char"/>
    <w:basedOn w:val="DefaultParagraphFont"/>
    <w:link w:val="CommentText"/>
    <w:uiPriority w:val="99"/>
    <w:semiHidden/>
    <w:locked/>
    <w:rsid w:val="0074730A"/>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74730A"/>
    <w:rPr>
      <w:b/>
      <w:bCs/>
    </w:rPr>
  </w:style>
  <w:style w:type="character" w:customStyle="1" w:styleId="CommentSubjectChar">
    <w:name w:val="Comment Subject Char"/>
    <w:basedOn w:val="CommentTextChar"/>
    <w:link w:val="CommentSubject"/>
    <w:uiPriority w:val="99"/>
    <w:semiHidden/>
    <w:locked/>
    <w:rsid w:val="0074730A"/>
    <w:rPr>
      <w:rFonts w:cs="Times New Roman"/>
      <w:b/>
      <w:bCs/>
      <w:sz w:val="20"/>
      <w:szCs w:val="20"/>
      <w:lang w:eastAsia="en-US"/>
    </w:rPr>
  </w:style>
  <w:style w:type="paragraph" w:styleId="ListBullet">
    <w:name w:val="List Bullet"/>
    <w:basedOn w:val="Normal"/>
    <w:autoRedefine/>
    <w:uiPriority w:val="99"/>
    <w:rsid w:val="00806279"/>
    <w:pPr>
      <w:tabs>
        <w:tab w:val="num" w:pos="360"/>
      </w:tabs>
      <w:spacing w:line="240" w:lineRule="auto"/>
      <w:ind w:left="360" w:hanging="360"/>
    </w:pPr>
    <w:rPr>
      <w:rFonts w:ascii="Univers" w:hAnsi="Univers"/>
      <w:sz w:val="22"/>
    </w:rPr>
  </w:style>
  <w:style w:type="character" w:customStyle="1" w:styleId="ListParagraphChar">
    <w:name w:val="List Paragraph Char"/>
    <w:basedOn w:val="DefaultParagraphFont"/>
    <w:link w:val="ListParagraph"/>
    <w:uiPriority w:val="34"/>
    <w:locked/>
    <w:rsid w:val="00D03CD8"/>
    <w:rPr>
      <w:rFonts w:cs="Times New Roman"/>
      <w:sz w:val="20"/>
      <w:szCs w:val="20"/>
      <w:lang w:eastAsia="en-US"/>
    </w:rPr>
  </w:style>
  <w:style w:type="paragraph" w:customStyle="1" w:styleId="Ruthsparagraph">
    <w:name w:val="Ruth's paragraph"/>
    <w:basedOn w:val="ListParagraph"/>
    <w:link w:val="RuthsparagraphChar1"/>
    <w:uiPriority w:val="99"/>
    <w:rsid w:val="00164A45"/>
    <w:pPr>
      <w:numPr>
        <w:ilvl w:val="1"/>
        <w:numId w:val="1"/>
      </w:numPr>
      <w:spacing w:before="120" w:after="120" w:line="240" w:lineRule="auto"/>
    </w:pPr>
    <w:rPr>
      <w:rFonts w:ascii="Arial" w:hAnsi="Arial"/>
      <w:sz w:val="24"/>
      <w:szCs w:val="24"/>
      <w:lang w:eastAsia="en-GB"/>
    </w:rPr>
  </w:style>
  <w:style w:type="character" w:customStyle="1" w:styleId="RuthsparagraphChar1">
    <w:name w:val="Ruth's paragraph Char1"/>
    <w:basedOn w:val="DefaultParagraphFont"/>
    <w:link w:val="Ruthsparagraph"/>
    <w:uiPriority w:val="99"/>
    <w:locked/>
    <w:rsid w:val="00164A45"/>
    <w:rPr>
      <w:rFonts w:ascii="Arial" w:hAnsi="Arial"/>
      <w:sz w:val="24"/>
      <w:szCs w:val="24"/>
    </w:rPr>
  </w:style>
  <w:style w:type="paragraph" w:customStyle="1" w:styleId="Ruthsnumberedheading">
    <w:name w:val="Ruth's numbered heading"/>
    <w:basedOn w:val="Normal"/>
    <w:uiPriority w:val="99"/>
    <w:rsid w:val="00164A45"/>
    <w:pPr>
      <w:numPr>
        <w:numId w:val="1"/>
      </w:numPr>
      <w:spacing w:before="120" w:after="120" w:line="240" w:lineRule="auto"/>
    </w:pPr>
    <w:rPr>
      <w:rFonts w:ascii="Arial" w:hAnsi="Arial" w:cs="Arial"/>
      <w:b/>
      <w:sz w:val="28"/>
      <w:szCs w:val="28"/>
      <w:lang w:eastAsia="en-GB"/>
    </w:rPr>
  </w:style>
  <w:style w:type="paragraph" w:customStyle="1" w:styleId="Default">
    <w:name w:val="Default"/>
    <w:rsid w:val="00E07B80"/>
    <w:pPr>
      <w:autoSpaceDE w:val="0"/>
      <w:autoSpaceDN w:val="0"/>
      <w:adjustRightInd w:val="0"/>
    </w:pPr>
    <w:rPr>
      <w:rFonts w:ascii="Arial" w:hAnsi="Arial" w:cs="Arial"/>
      <w:color w:val="000000"/>
      <w:sz w:val="24"/>
      <w:szCs w:val="24"/>
    </w:rPr>
  </w:style>
  <w:style w:type="table" w:styleId="TableGrid">
    <w:name w:val="Table Grid"/>
    <w:basedOn w:val="TableNormal"/>
    <w:locked/>
    <w:rsid w:val="00C345C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ED0"/>
    <w:rPr>
      <w:sz w:val="20"/>
      <w:szCs w:val="20"/>
      <w:lang w:eastAsia="en-US"/>
    </w:rPr>
  </w:style>
  <w:style w:type="paragraph" w:customStyle="1" w:styleId="Italicparaheading">
    <w:name w:val="Italic para heading"/>
    <w:basedOn w:val="Normal"/>
    <w:link w:val="ItalicparaheadingChar"/>
    <w:uiPriority w:val="99"/>
    <w:rsid w:val="00336EB2"/>
    <w:pPr>
      <w:spacing w:before="120" w:after="120" w:line="240" w:lineRule="auto"/>
    </w:pPr>
    <w:rPr>
      <w:rFonts w:ascii="Arial" w:hAnsi="Arial"/>
      <w:b/>
      <w:i/>
      <w:sz w:val="24"/>
      <w:szCs w:val="24"/>
      <w:lang w:eastAsia="en-GB"/>
    </w:rPr>
  </w:style>
  <w:style w:type="character" w:customStyle="1" w:styleId="ItalicparaheadingChar">
    <w:name w:val="Italic para heading Char"/>
    <w:basedOn w:val="DefaultParagraphFont"/>
    <w:link w:val="Italicparaheading"/>
    <w:uiPriority w:val="99"/>
    <w:locked/>
    <w:rsid w:val="00336EB2"/>
    <w:rPr>
      <w:rFonts w:ascii="Arial" w:hAnsi="Arial" w:cs="Times New Roman"/>
      <w:b/>
      <w:i/>
      <w:sz w:val="24"/>
      <w:szCs w:val="24"/>
    </w:rPr>
  </w:style>
  <w:style w:type="paragraph" w:styleId="NormalWeb">
    <w:name w:val="Normal (Web)"/>
    <w:basedOn w:val="Normal"/>
    <w:uiPriority w:val="99"/>
    <w:semiHidden/>
    <w:unhideWhenUsed/>
    <w:rsid w:val="005D599B"/>
    <w:pPr>
      <w:spacing w:before="100" w:beforeAutospacing="1" w:after="100" w:afterAutospacing="1" w:line="240" w:lineRule="auto"/>
    </w:pPr>
    <w:rPr>
      <w:sz w:val="24"/>
      <w:szCs w:val="24"/>
      <w:lang w:eastAsia="en-GB"/>
    </w:rPr>
  </w:style>
  <w:style w:type="character" w:customStyle="1" w:styleId="Heading3Char">
    <w:name w:val="Heading 3 Char"/>
    <w:basedOn w:val="DefaultParagraphFont"/>
    <w:link w:val="Heading3"/>
    <w:semiHidden/>
    <w:rsid w:val="00414763"/>
    <w:rPr>
      <w:rFonts w:asciiTheme="majorHAnsi" w:eastAsiaTheme="majorEastAsia" w:hAnsiTheme="majorHAnsi" w:cstheme="majorBidi"/>
      <w:b/>
      <w:bCs/>
      <w:color w:val="4F81BD" w:themeColor="accent1"/>
      <w:sz w:val="20"/>
      <w:szCs w:val="20"/>
      <w:lang w:eastAsia="en-US"/>
    </w:rPr>
  </w:style>
  <w:style w:type="numbering" w:customStyle="1" w:styleId="Ruth-numberedparagraphoutline">
    <w:name w:val="Ruth - numbered paragraph outline"/>
    <w:uiPriority w:val="99"/>
    <w:rsid w:val="000266BC"/>
    <w:pPr>
      <w:numPr>
        <w:numId w:val="2"/>
      </w:numPr>
    </w:pPr>
  </w:style>
  <w:style w:type="character" w:customStyle="1" w:styleId="Heading1Char">
    <w:name w:val="Heading 1 Char"/>
    <w:basedOn w:val="DefaultParagraphFont"/>
    <w:link w:val="Heading1"/>
    <w:rsid w:val="00AD41D8"/>
    <w:rPr>
      <w:rFonts w:asciiTheme="majorHAnsi" w:eastAsiaTheme="majorEastAsia" w:hAnsiTheme="majorHAnsi" w:cstheme="majorBidi"/>
      <w:b/>
      <w:bCs/>
      <w:color w:val="365F91" w:themeColor="accent1" w:themeShade="BF"/>
      <w:sz w:val="28"/>
      <w:szCs w:val="28"/>
      <w:lang w:eastAsia="en-US"/>
    </w:rPr>
  </w:style>
  <w:style w:type="numbering" w:customStyle="1" w:styleId="Ruth-numberedheading">
    <w:name w:val="Ruth - numbered heading"/>
    <w:uiPriority w:val="99"/>
    <w:rsid w:val="00AD41D8"/>
    <w:pPr>
      <w:numPr>
        <w:numId w:val="3"/>
      </w:numPr>
    </w:pPr>
  </w:style>
  <w:style w:type="paragraph" w:customStyle="1" w:styleId="Ruth-numberedparagraph">
    <w:name w:val="Ruth - numbered paragraph"/>
    <w:basedOn w:val="ListParagraph"/>
    <w:autoRedefine/>
    <w:rsid w:val="001B78EA"/>
    <w:pPr>
      <w:numPr>
        <w:numId w:val="4"/>
      </w:numPr>
      <w:spacing w:before="120" w:after="120" w:line="240" w:lineRule="auto"/>
    </w:pPr>
    <w:rPr>
      <w:rFonts w:asciiTheme="minorHAnsi" w:hAnsiTheme="minorHAnsi"/>
      <w:sz w:val="24"/>
      <w:szCs w:val="24"/>
      <w:lang w:eastAsia="en-GB"/>
    </w:rPr>
  </w:style>
  <w:style w:type="paragraph" w:customStyle="1" w:styleId="Rheading">
    <w:name w:val="R heading"/>
    <w:basedOn w:val="Subtitle"/>
    <w:autoRedefine/>
    <w:qFormat/>
    <w:rsid w:val="00DF669D"/>
    <w:pPr>
      <w:numPr>
        <w:ilvl w:val="0"/>
        <w:numId w:val="5"/>
      </w:numPr>
      <w:spacing w:before="240" w:after="120" w:line="240" w:lineRule="auto"/>
    </w:pPr>
    <w:rPr>
      <w:rFonts w:ascii="Arial" w:hAnsi="Arial" w:cs="Times New Roman"/>
      <w:b/>
      <w:color w:val="auto"/>
      <w:spacing w:val="0"/>
      <w:sz w:val="28"/>
      <w:szCs w:val="24"/>
      <w:lang w:eastAsia="en-GB"/>
    </w:rPr>
  </w:style>
  <w:style w:type="paragraph" w:customStyle="1" w:styleId="Rnumberedparagraph">
    <w:name w:val="R numbered paragraph"/>
    <w:basedOn w:val="Rparagraph"/>
    <w:link w:val="RnumberedparagraphChar"/>
    <w:autoRedefine/>
    <w:rsid w:val="00DB6A53"/>
  </w:style>
  <w:style w:type="character" w:customStyle="1" w:styleId="RnumberedparagraphChar">
    <w:name w:val="R numbered paragraph Char"/>
    <w:basedOn w:val="DefaultParagraphFont"/>
    <w:link w:val="Rnumberedparagraph"/>
    <w:rsid w:val="00DB6A53"/>
    <w:rPr>
      <w:rFonts w:ascii="Arial" w:eastAsiaTheme="minorEastAsia" w:hAnsi="Arial"/>
      <w:sz w:val="24"/>
      <w:szCs w:val="24"/>
    </w:rPr>
  </w:style>
  <w:style w:type="paragraph" w:customStyle="1" w:styleId="Rparagraph">
    <w:name w:val="R paragraph"/>
    <w:basedOn w:val="Rheading"/>
    <w:link w:val="RparagraphChar"/>
    <w:qFormat/>
    <w:rsid w:val="00630BC5"/>
    <w:pPr>
      <w:numPr>
        <w:ilvl w:val="1"/>
      </w:numPr>
      <w:spacing w:before="120"/>
    </w:pPr>
    <w:rPr>
      <w:b w:val="0"/>
      <w:sz w:val="24"/>
    </w:rPr>
  </w:style>
  <w:style w:type="paragraph" w:customStyle="1" w:styleId="Rthirdlevelparagraph">
    <w:name w:val="R third level paragraph"/>
    <w:basedOn w:val="Rparagraph"/>
    <w:autoRedefine/>
    <w:qFormat/>
    <w:rsid w:val="00DB6A53"/>
    <w:pPr>
      <w:numPr>
        <w:ilvl w:val="2"/>
      </w:numPr>
      <w:tabs>
        <w:tab w:val="num" w:pos="1701"/>
      </w:tabs>
      <w:ind w:left="1701" w:hanging="850"/>
    </w:pPr>
  </w:style>
  <w:style w:type="paragraph" w:styleId="Subtitle">
    <w:name w:val="Subtitle"/>
    <w:basedOn w:val="Normal"/>
    <w:next w:val="Normal"/>
    <w:link w:val="SubtitleChar"/>
    <w:qFormat/>
    <w:locked/>
    <w:rsid w:val="00DB6A5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B6A53"/>
    <w:rPr>
      <w:rFonts w:asciiTheme="minorHAnsi" w:eastAsiaTheme="minorEastAsia" w:hAnsiTheme="minorHAnsi" w:cstheme="minorBidi"/>
      <w:color w:val="5A5A5A" w:themeColor="text1" w:themeTint="A5"/>
      <w:spacing w:val="15"/>
      <w:lang w:eastAsia="en-US"/>
    </w:rPr>
  </w:style>
  <w:style w:type="paragraph" w:styleId="ListNumber">
    <w:name w:val="List Number"/>
    <w:basedOn w:val="Normal"/>
    <w:unhideWhenUsed/>
    <w:rsid w:val="00AE6EED"/>
    <w:pPr>
      <w:numPr>
        <w:numId w:val="6"/>
      </w:numPr>
      <w:spacing w:after="160" w:line="259" w:lineRule="auto"/>
      <w:contextualSpacing/>
    </w:pPr>
    <w:rPr>
      <w:rFonts w:asciiTheme="minorHAnsi" w:eastAsiaTheme="minorHAnsi" w:hAnsiTheme="minorHAnsi" w:cstheme="minorBidi"/>
      <w:sz w:val="22"/>
      <w:szCs w:val="22"/>
    </w:rPr>
  </w:style>
  <w:style w:type="character" w:customStyle="1" w:styleId="RparagraphChar">
    <w:name w:val="R paragraph Char"/>
    <w:basedOn w:val="DefaultParagraphFont"/>
    <w:link w:val="Rparagraph"/>
    <w:rsid w:val="00630BC5"/>
    <w:rPr>
      <w:rFonts w:ascii="Arial" w:eastAsiaTheme="minorEastAsia" w:hAnsi="Arial"/>
      <w:sz w:val="24"/>
      <w:szCs w:val="24"/>
    </w:rPr>
  </w:style>
  <w:style w:type="paragraph" w:customStyle="1" w:styleId="Rquotation">
    <w:name w:val="R quotation"/>
    <w:basedOn w:val="Normal"/>
    <w:link w:val="RquotationChar"/>
    <w:qFormat/>
    <w:rsid w:val="00EB0CC9"/>
    <w:pPr>
      <w:spacing w:before="120" w:after="120" w:line="240" w:lineRule="auto"/>
      <w:ind w:left="567"/>
    </w:pPr>
    <w:rPr>
      <w:rFonts w:ascii="Arial" w:eastAsiaTheme="minorEastAsia" w:hAnsi="Arial" w:cstheme="minorBidi"/>
      <w:sz w:val="24"/>
      <w:szCs w:val="22"/>
    </w:rPr>
  </w:style>
  <w:style w:type="character" w:customStyle="1" w:styleId="RquotationChar">
    <w:name w:val="R quotation Char"/>
    <w:basedOn w:val="DefaultParagraphFont"/>
    <w:link w:val="Rquotation"/>
    <w:rsid w:val="00EB0CC9"/>
    <w:rPr>
      <w:rFonts w:ascii="Arial" w:eastAsiaTheme="minorEastAsia" w:hAnsi="Arial" w:cstheme="minorBidi"/>
      <w:sz w:val="24"/>
      <w:lang w:eastAsia="en-US"/>
    </w:rPr>
  </w:style>
  <w:style w:type="paragraph" w:customStyle="1" w:styleId="R6sub-bullet">
    <w:name w:val="R6 sub-bullet"/>
    <w:basedOn w:val="ListBullet"/>
    <w:link w:val="R6sub-bulletChar"/>
    <w:qFormat/>
    <w:rsid w:val="008F27E6"/>
    <w:pPr>
      <w:numPr>
        <w:numId w:val="7"/>
      </w:numPr>
      <w:spacing w:after="120"/>
    </w:pPr>
    <w:rPr>
      <w:rFonts w:ascii="Arial" w:hAnsi="Arial"/>
      <w:sz w:val="24"/>
      <w:szCs w:val="24"/>
      <w:lang w:eastAsia="en-GB"/>
    </w:rPr>
  </w:style>
  <w:style w:type="character" w:customStyle="1" w:styleId="R6sub-bulletChar">
    <w:name w:val="R6 sub-bullet Char"/>
    <w:basedOn w:val="DefaultParagraphFont"/>
    <w:link w:val="R6sub-bullet"/>
    <w:rsid w:val="008F27E6"/>
    <w:rPr>
      <w:rFonts w:ascii="Arial" w:hAnsi="Arial"/>
      <w:sz w:val="24"/>
      <w:szCs w:val="24"/>
    </w:rPr>
  </w:style>
  <w:style w:type="paragraph" w:customStyle="1" w:styleId="R1heading">
    <w:name w:val="R1 heading"/>
    <w:basedOn w:val="Subtitle"/>
    <w:autoRedefine/>
    <w:qFormat/>
    <w:rsid w:val="000D2585"/>
    <w:pPr>
      <w:numPr>
        <w:ilvl w:val="0"/>
      </w:numPr>
      <w:spacing w:before="240" w:after="120" w:line="240" w:lineRule="auto"/>
      <w:ind w:left="567" w:hanging="567"/>
    </w:pPr>
    <w:rPr>
      <w:rFonts w:ascii="Arial" w:hAnsi="Arial" w:cs="Times New Roman"/>
      <w:b/>
      <w:color w:val="auto"/>
      <w:spacing w:val="0"/>
      <w:sz w:val="28"/>
      <w:szCs w:val="24"/>
      <w:lang w:eastAsia="en-GB"/>
    </w:rPr>
  </w:style>
  <w:style w:type="paragraph" w:customStyle="1" w:styleId="R5bullet">
    <w:name w:val="R5 bullet"/>
    <w:basedOn w:val="ListBullet"/>
    <w:link w:val="R5bulletChar"/>
    <w:autoRedefine/>
    <w:qFormat/>
    <w:rsid w:val="000D2585"/>
    <w:pPr>
      <w:numPr>
        <w:numId w:val="8"/>
      </w:numPr>
      <w:spacing w:before="120" w:after="120"/>
      <w:ind w:left="1135" w:hanging="284"/>
    </w:pPr>
    <w:rPr>
      <w:rFonts w:ascii="Arial" w:eastAsiaTheme="minorEastAsia" w:hAnsi="Arial"/>
      <w:sz w:val="24"/>
      <w:szCs w:val="24"/>
      <w:lang w:eastAsia="en-GB"/>
    </w:rPr>
  </w:style>
  <w:style w:type="character" w:customStyle="1" w:styleId="R5bulletChar">
    <w:name w:val="R5 bullet Char"/>
    <w:basedOn w:val="RnumberedparagraphChar"/>
    <w:link w:val="R5bullet"/>
    <w:rsid w:val="000D2585"/>
    <w:rPr>
      <w:rFonts w:ascii="Arial" w:eastAsiaTheme="minorEastAsia" w:hAnsi="Arial"/>
      <w:sz w:val="24"/>
      <w:szCs w:val="24"/>
    </w:rPr>
  </w:style>
  <w:style w:type="paragraph" w:customStyle="1" w:styleId="R3paragraph">
    <w:name w:val="R3 paragraph"/>
    <w:basedOn w:val="R1heading"/>
    <w:link w:val="R3paragraphChar"/>
    <w:qFormat/>
    <w:rsid w:val="000D2585"/>
    <w:pPr>
      <w:spacing w:before="120"/>
    </w:pPr>
    <w:rPr>
      <w:b w:val="0"/>
      <w:sz w:val="24"/>
    </w:rPr>
  </w:style>
  <w:style w:type="paragraph" w:customStyle="1" w:styleId="R7thirdlevelparagraph">
    <w:name w:val="R7 third level paragraph"/>
    <w:basedOn w:val="R3paragraph"/>
    <w:autoRedefine/>
    <w:qFormat/>
    <w:rsid w:val="000D2585"/>
    <w:pPr>
      <w:tabs>
        <w:tab w:val="num" w:pos="1701"/>
      </w:tabs>
      <w:ind w:left="1701" w:hanging="850"/>
    </w:pPr>
  </w:style>
  <w:style w:type="character" w:customStyle="1" w:styleId="R3paragraphChar">
    <w:name w:val="R3 paragraph Char"/>
    <w:basedOn w:val="DefaultParagraphFont"/>
    <w:link w:val="R3paragraph"/>
    <w:rsid w:val="000D2585"/>
    <w:rPr>
      <w:rFonts w:ascii="Arial" w:eastAsiaTheme="minorEastAsia"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6/40/section/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04A7E-29FD-4ADE-AC1C-4F20F5D4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14</Pages>
  <Words>6479</Words>
  <Characters>35676</Characters>
  <Application>Microsoft Office Word</Application>
  <DocSecurity>0</DocSecurity>
  <Lines>297</Lines>
  <Paragraphs>84</Paragraphs>
  <ScaleCrop>false</ScaleCrop>
  <HeadingPairs>
    <vt:vector size="2" baseType="variant">
      <vt:variant>
        <vt:lpstr>Title</vt:lpstr>
      </vt:variant>
      <vt:variant>
        <vt:i4>1</vt:i4>
      </vt:variant>
    </vt:vector>
  </HeadingPairs>
  <TitlesOfParts>
    <vt:vector size="1" baseType="lpstr">
      <vt:lpstr>Audit area</vt:lpstr>
    </vt:vector>
  </TitlesOfParts>
  <Company>Lancashire County Council</Company>
  <LinksUpToDate>false</LinksUpToDate>
  <CharactersWithSpaces>42071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area</dc:title>
  <dc:creator>Ruth Lowry</dc:creator>
  <cp:lastModifiedBy>Jones, Debra</cp:lastModifiedBy>
  <cp:revision>45</cp:revision>
  <cp:lastPrinted>2019-01-08T14:30:00Z</cp:lastPrinted>
  <dcterms:created xsi:type="dcterms:W3CDTF">2019-07-09T14:18:00Z</dcterms:created>
  <dcterms:modified xsi:type="dcterms:W3CDTF">2019-07-18T09:29:00Z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378104528</vt:i4>
  </property>
</Properties>
</file>